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213"/>
        <w:gridCol w:w="3742"/>
      </w:tblGrid>
      <w:tr w:rsidR="00577BDC" w:rsidRPr="00577BDC" w:rsidTr="00577BDC">
        <w:trPr>
          <w:tblCellSpacing w:w="75" w:type="dxa"/>
        </w:trPr>
        <w:tc>
          <w:tcPr>
            <w:tcW w:w="0" w:type="auto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HANREC470/2012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343180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AGENŢIA NAŢIONALĂ PENTRU REGLEMENTARE ÎN ENERGETICĂ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470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11.05.2012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privind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tarifele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energia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electrică</w:t>
            </w:r>
            <w:proofErr w:type="spellEnd"/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15.05.2012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92     art Nr : 577     Data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intrarii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15.05.2012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ajustării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tarifelor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energia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electrică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corespundere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costurile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aferente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procurării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distribuţiei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furnizării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energiei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electrice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exploatării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eficiente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reţelelor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distribuţie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Consiliul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administraţie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Agenţiei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Reglementare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Energetică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HOTĂRĂŞTE: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1. Se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aprobă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tarifele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furnizare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energiei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electrice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consumatorilor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finali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către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Î.C.S. „RED Union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Fenosa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S.A., „RED Nord” S.A.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„RED Nord-Vest” S.A., conform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2. Se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abrogă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Hotărîrea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administraţie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Agenţiei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Reglementare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Energetică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 410 din 15 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aprilie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2011 (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63-64/320 din 20.04.2011).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3.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publicării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    CONSILIUL DE ADMINISTRAŢIE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    AL ANRE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Directorul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general                                                  Victor PARLICOV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Directori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                                                               Leonid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Belinschi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                                                                                  Mariana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Botezatu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                                                                                  Marin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                                                                                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Nicolae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Raileanu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Nr. 470.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Chişinău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2012.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hyperlink r:id="rId7" w:history="1">
              <w:proofErr w:type="spellStart"/>
              <w:r w:rsidRPr="00577BD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anexa</w:t>
              </w:r>
              <w:proofErr w:type="spellEnd"/>
            </w:hyperlink>
          </w:p>
        </w:tc>
      </w:tr>
    </w:tbl>
    <w:p w:rsidR="00577BDC" w:rsidRPr="00EA1CD9" w:rsidRDefault="00577BDC" w:rsidP="00577BDC">
      <w:pPr>
        <w:tabs>
          <w:tab w:val="left" w:pos="5040"/>
        </w:tabs>
        <w:ind w:firstLine="5100"/>
        <w:jc w:val="center"/>
        <w:rPr>
          <w:b/>
          <w:color w:val="000000"/>
        </w:rPr>
      </w:pPr>
      <w:proofErr w:type="spellStart"/>
      <w:r w:rsidRPr="00EA1CD9">
        <w:rPr>
          <w:b/>
          <w:color w:val="000000"/>
        </w:rPr>
        <w:t>Anexă</w:t>
      </w:r>
      <w:proofErr w:type="spellEnd"/>
    </w:p>
    <w:p w:rsidR="00577BDC" w:rsidRPr="00EA1CD9" w:rsidRDefault="00577BDC" w:rsidP="00577BDC">
      <w:pPr>
        <w:ind w:firstLine="5100"/>
        <w:jc w:val="center"/>
        <w:rPr>
          <w:b/>
          <w:color w:val="000000"/>
        </w:rPr>
      </w:pPr>
      <w:proofErr w:type="spellStart"/>
      <w:smartTag w:uri="urn:schemas-microsoft-com:office:smarttags" w:element="PersonName">
        <w:smartTagPr>
          <w:attr w:name="ProductID" w:val="la Hotărârea Consiliului"/>
        </w:smartTagPr>
        <w:r w:rsidRPr="00EA1CD9">
          <w:rPr>
            <w:b/>
            <w:color w:val="000000"/>
          </w:rPr>
          <w:t>la</w:t>
        </w:r>
        <w:proofErr w:type="spellEnd"/>
        <w:r w:rsidRPr="00EA1CD9">
          <w:rPr>
            <w:b/>
            <w:color w:val="000000"/>
          </w:rPr>
          <w:t xml:space="preserve"> </w:t>
        </w:r>
        <w:proofErr w:type="spellStart"/>
        <w:r w:rsidRPr="00EA1CD9">
          <w:rPr>
            <w:b/>
            <w:color w:val="000000"/>
          </w:rPr>
          <w:t>Hotărârea</w:t>
        </w:r>
        <w:proofErr w:type="spellEnd"/>
        <w:r w:rsidRPr="00EA1CD9">
          <w:rPr>
            <w:b/>
            <w:color w:val="000000"/>
          </w:rPr>
          <w:t xml:space="preserve"> </w:t>
        </w:r>
        <w:proofErr w:type="spellStart"/>
        <w:r w:rsidRPr="00EA1CD9">
          <w:rPr>
            <w:b/>
            <w:color w:val="000000"/>
          </w:rPr>
          <w:t>Consiliului</w:t>
        </w:r>
      </w:smartTag>
      <w:proofErr w:type="spellEnd"/>
      <w:r w:rsidRPr="00EA1CD9">
        <w:rPr>
          <w:b/>
          <w:color w:val="000000"/>
        </w:rPr>
        <w:t xml:space="preserve"> </w:t>
      </w:r>
      <w:proofErr w:type="spellStart"/>
      <w:r w:rsidRPr="00EA1CD9">
        <w:rPr>
          <w:b/>
          <w:color w:val="000000"/>
        </w:rPr>
        <w:t>de</w:t>
      </w:r>
      <w:proofErr w:type="spellEnd"/>
      <w:r w:rsidRPr="00EA1CD9">
        <w:rPr>
          <w:b/>
          <w:color w:val="000000"/>
        </w:rPr>
        <w:t xml:space="preserve"> </w:t>
      </w:r>
      <w:proofErr w:type="spellStart"/>
      <w:r w:rsidRPr="00EA1CD9">
        <w:rPr>
          <w:b/>
          <w:color w:val="000000"/>
        </w:rPr>
        <w:t>administraţie</w:t>
      </w:r>
      <w:proofErr w:type="spellEnd"/>
    </w:p>
    <w:p w:rsidR="00577BDC" w:rsidRPr="00577BDC" w:rsidRDefault="00577BDC" w:rsidP="00577BDC">
      <w:pPr>
        <w:ind w:firstLine="5097"/>
        <w:jc w:val="center"/>
        <w:rPr>
          <w:b/>
          <w:color w:val="000000"/>
          <w:lang w:val="en-US"/>
        </w:rPr>
      </w:pPr>
      <w:proofErr w:type="gramStart"/>
      <w:r w:rsidRPr="00577BDC">
        <w:rPr>
          <w:b/>
          <w:color w:val="000000"/>
          <w:lang w:val="en-US"/>
        </w:rPr>
        <w:t>al</w:t>
      </w:r>
      <w:proofErr w:type="gramEnd"/>
      <w:r w:rsidRPr="00577BDC">
        <w:rPr>
          <w:b/>
          <w:color w:val="000000"/>
          <w:lang w:val="en-US"/>
        </w:rPr>
        <w:t xml:space="preserve"> ANRE nr. </w:t>
      </w:r>
      <w:proofErr w:type="gramStart"/>
      <w:r w:rsidRPr="00577BDC">
        <w:rPr>
          <w:b/>
          <w:color w:val="000000"/>
          <w:lang w:val="en-US"/>
        </w:rPr>
        <w:t>470  din</w:t>
      </w:r>
      <w:proofErr w:type="gramEnd"/>
      <w:r w:rsidRPr="00577BDC">
        <w:rPr>
          <w:b/>
          <w:color w:val="000000"/>
          <w:lang w:val="en-US"/>
        </w:rPr>
        <w:t xml:space="preserve">  11  </w:t>
      </w:r>
      <w:proofErr w:type="spellStart"/>
      <w:r w:rsidRPr="00577BDC">
        <w:rPr>
          <w:b/>
          <w:color w:val="000000"/>
          <w:lang w:val="en-US"/>
        </w:rPr>
        <w:t>mai</w:t>
      </w:r>
      <w:proofErr w:type="spellEnd"/>
      <w:r w:rsidRPr="00577BDC">
        <w:rPr>
          <w:b/>
          <w:color w:val="000000"/>
          <w:lang w:val="en-US"/>
        </w:rPr>
        <w:t xml:space="preserve">  2012</w:t>
      </w:r>
    </w:p>
    <w:p w:rsidR="00577BDC" w:rsidRPr="00577BDC" w:rsidRDefault="00577BDC" w:rsidP="00577BDC">
      <w:pPr>
        <w:jc w:val="center"/>
        <w:rPr>
          <w:color w:val="000000"/>
          <w:lang w:val="en-US"/>
        </w:rPr>
      </w:pPr>
    </w:p>
    <w:p w:rsidR="00577BDC" w:rsidRPr="00EA1CD9" w:rsidRDefault="00577BDC" w:rsidP="00577BDC">
      <w:pPr>
        <w:jc w:val="center"/>
        <w:rPr>
          <w:b/>
          <w:color w:val="000000"/>
        </w:rPr>
      </w:pPr>
      <w:proofErr w:type="spellStart"/>
      <w:r w:rsidRPr="00EA1CD9">
        <w:rPr>
          <w:b/>
          <w:color w:val="000000"/>
        </w:rPr>
        <w:t>Tarifele</w:t>
      </w:r>
      <w:proofErr w:type="spellEnd"/>
      <w:r w:rsidRPr="00EA1CD9">
        <w:rPr>
          <w:b/>
          <w:color w:val="000000"/>
        </w:rPr>
        <w:t xml:space="preserve"> </w:t>
      </w:r>
      <w:proofErr w:type="spellStart"/>
      <w:r w:rsidRPr="00EA1CD9">
        <w:rPr>
          <w:b/>
          <w:color w:val="000000"/>
        </w:rPr>
        <w:t>la</w:t>
      </w:r>
      <w:proofErr w:type="spellEnd"/>
      <w:r w:rsidRPr="00EA1CD9">
        <w:rPr>
          <w:b/>
          <w:color w:val="000000"/>
        </w:rPr>
        <w:t xml:space="preserve"> </w:t>
      </w:r>
      <w:proofErr w:type="spellStart"/>
      <w:r w:rsidRPr="00EA1CD9">
        <w:rPr>
          <w:b/>
          <w:color w:val="000000"/>
        </w:rPr>
        <w:t>energia</w:t>
      </w:r>
      <w:proofErr w:type="spellEnd"/>
      <w:r w:rsidRPr="00EA1CD9">
        <w:rPr>
          <w:b/>
          <w:color w:val="000000"/>
        </w:rPr>
        <w:t xml:space="preserve"> </w:t>
      </w:r>
      <w:proofErr w:type="spellStart"/>
      <w:r w:rsidRPr="00EA1CD9">
        <w:rPr>
          <w:b/>
          <w:color w:val="000000"/>
        </w:rPr>
        <w:t>electrică</w:t>
      </w:r>
      <w:proofErr w:type="spellEnd"/>
    </w:p>
    <w:p w:rsidR="00577BDC" w:rsidRPr="00EA1CD9" w:rsidRDefault="00577BDC" w:rsidP="00577BDC">
      <w:pPr>
        <w:ind w:firstLine="720"/>
        <w:jc w:val="both"/>
        <w:rPr>
          <w:color w:val="000000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8"/>
        <w:gridCol w:w="2640"/>
      </w:tblGrid>
      <w:tr w:rsidR="00577BDC" w:rsidRPr="00577BDC" w:rsidTr="003B7DD8">
        <w:tblPrEx>
          <w:tblCellMar>
            <w:top w:w="0" w:type="dxa"/>
            <w:bottom w:w="0" w:type="dxa"/>
          </w:tblCellMar>
        </w:tblPrEx>
        <w:tc>
          <w:tcPr>
            <w:tcW w:w="6708" w:type="dxa"/>
          </w:tcPr>
          <w:p w:rsidR="00577BDC" w:rsidRPr="00EA1CD9" w:rsidRDefault="00577BDC" w:rsidP="003B7DD8">
            <w:pPr>
              <w:spacing w:before="120" w:after="120" w:line="320" w:lineRule="exact"/>
              <w:jc w:val="center"/>
              <w:rPr>
                <w:b/>
                <w:color w:val="000000"/>
                <w:sz w:val="21"/>
                <w:szCs w:val="21"/>
              </w:rPr>
            </w:pPr>
            <w:proofErr w:type="spellStart"/>
            <w:r w:rsidRPr="00EA1CD9">
              <w:rPr>
                <w:b/>
                <w:color w:val="000000"/>
                <w:sz w:val="21"/>
                <w:szCs w:val="21"/>
              </w:rPr>
              <w:t>Categoriile</w:t>
            </w:r>
            <w:proofErr w:type="spellEnd"/>
            <w:r w:rsidRPr="00EA1CD9">
              <w:rPr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A1CD9">
              <w:rPr>
                <w:b/>
                <w:color w:val="000000"/>
                <w:sz w:val="21"/>
                <w:szCs w:val="21"/>
              </w:rPr>
              <w:t>de</w:t>
            </w:r>
            <w:proofErr w:type="spellEnd"/>
            <w:r w:rsidRPr="00EA1CD9">
              <w:rPr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A1CD9">
              <w:rPr>
                <w:b/>
                <w:color w:val="000000"/>
                <w:sz w:val="21"/>
                <w:szCs w:val="21"/>
              </w:rPr>
              <w:t>consumatori</w:t>
            </w:r>
            <w:proofErr w:type="spellEnd"/>
          </w:p>
        </w:tc>
        <w:tc>
          <w:tcPr>
            <w:tcW w:w="2640" w:type="dxa"/>
          </w:tcPr>
          <w:p w:rsidR="00577BDC" w:rsidRPr="00130C87" w:rsidRDefault="00577BDC" w:rsidP="003B7DD8">
            <w:pPr>
              <w:pStyle w:val="a8"/>
              <w:spacing w:before="120" w:after="120" w:line="320" w:lineRule="exact"/>
              <w:ind w:left="-108" w:right="-108"/>
              <w:rPr>
                <w:b/>
                <w:smallCaps/>
                <w:color w:val="000000"/>
                <w:sz w:val="21"/>
                <w:szCs w:val="21"/>
                <w:lang w:val="en-US"/>
              </w:rPr>
            </w:pPr>
            <w:proofErr w:type="spellStart"/>
            <w:r w:rsidRPr="00130C87">
              <w:rPr>
                <w:b/>
                <w:smallCaps/>
                <w:color w:val="000000"/>
                <w:sz w:val="21"/>
                <w:szCs w:val="21"/>
                <w:lang w:val="en-US"/>
              </w:rPr>
              <w:t>Tarif</w:t>
            </w:r>
            <w:proofErr w:type="spellEnd"/>
            <w:r w:rsidRPr="00130C87">
              <w:rPr>
                <w:b/>
                <w:smallCap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30C87">
              <w:rPr>
                <w:b/>
                <w:smallCaps/>
                <w:color w:val="000000"/>
                <w:sz w:val="21"/>
                <w:szCs w:val="21"/>
                <w:lang w:val="en-US"/>
              </w:rPr>
              <w:t>fără</w:t>
            </w:r>
            <w:proofErr w:type="spellEnd"/>
            <w:r w:rsidRPr="00130C87">
              <w:rPr>
                <w:b/>
                <w:smallCaps/>
                <w:color w:val="000000"/>
                <w:sz w:val="21"/>
                <w:szCs w:val="21"/>
                <w:lang w:val="en-US"/>
              </w:rPr>
              <w:t xml:space="preserve"> TVA (</w:t>
            </w:r>
            <w:r w:rsidRPr="00CA25BF">
              <w:rPr>
                <w:b/>
                <w:smallCaps/>
                <w:color w:val="000000"/>
                <w:sz w:val="21"/>
                <w:szCs w:val="21"/>
                <w:lang w:val="ro-RO"/>
              </w:rPr>
              <w:t>bani/kWh</w:t>
            </w:r>
            <w:r w:rsidRPr="00130C87">
              <w:rPr>
                <w:b/>
                <w:smallCaps/>
                <w:color w:val="000000"/>
                <w:sz w:val="21"/>
                <w:szCs w:val="21"/>
                <w:lang w:val="en-US"/>
              </w:rPr>
              <w:t>)</w:t>
            </w:r>
          </w:p>
        </w:tc>
      </w:tr>
      <w:tr w:rsidR="00577BDC" w:rsidRPr="00577BDC" w:rsidTr="003B7DD8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348" w:type="dxa"/>
            <w:gridSpan w:val="2"/>
            <w:vAlign w:val="center"/>
          </w:tcPr>
          <w:p w:rsidR="00577BDC" w:rsidRPr="00577BDC" w:rsidRDefault="00577BDC" w:rsidP="003B7DD8">
            <w:pPr>
              <w:ind w:left="420"/>
              <w:jc w:val="both"/>
              <w:rPr>
                <w:b/>
                <w:color w:val="000000"/>
                <w:lang w:val="en-US"/>
              </w:rPr>
            </w:pPr>
            <w:r w:rsidRPr="00577BDC">
              <w:rPr>
                <w:b/>
                <w:color w:val="000000"/>
                <w:lang w:val="en-US"/>
              </w:rPr>
              <w:t xml:space="preserve">1. 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Energia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electrică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livrată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către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Î.C.S. „</w:t>
            </w:r>
            <w:r w:rsidRPr="00577BDC" w:rsidDel="00CB5F6E">
              <w:rPr>
                <w:b/>
                <w:color w:val="000000"/>
                <w:lang w:val="en-US"/>
              </w:rPr>
              <w:t>RE</w:t>
            </w:r>
            <w:r w:rsidRPr="00577BDC">
              <w:rPr>
                <w:b/>
                <w:color w:val="000000"/>
                <w:lang w:val="en-US"/>
              </w:rPr>
              <w:t xml:space="preserve">D Union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Fenosa</w:t>
            </w:r>
            <w:proofErr w:type="spellEnd"/>
            <w:r w:rsidRPr="00577BDC">
              <w:rPr>
                <w:b/>
                <w:color w:val="000000"/>
                <w:lang w:val="en-US"/>
              </w:rPr>
              <w:t>” S.A.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35; 110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117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6; 10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140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până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0,4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  <w:highlight w:val="yellow"/>
              </w:rPr>
            </w:pPr>
            <w:r w:rsidRPr="00582432">
              <w:rPr>
                <w:smallCaps/>
                <w:color w:val="000000"/>
              </w:rPr>
              <w:t>158</w:t>
            </w:r>
          </w:p>
        </w:tc>
      </w:tr>
      <w:tr w:rsidR="00577BDC" w:rsidRPr="00577BDC" w:rsidTr="003B7DD8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9348" w:type="dxa"/>
            <w:gridSpan w:val="2"/>
            <w:vAlign w:val="center"/>
          </w:tcPr>
          <w:p w:rsidR="00577BDC" w:rsidRPr="00577BDC" w:rsidRDefault="00577BDC" w:rsidP="003B7DD8">
            <w:pPr>
              <w:ind w:left="120" w:firstLine="300"/>
              <w:jc w:val="both"/>
              <w:rPr>
                <w:b/>
                <w:color w:val="000000"/>
                <w:lang w:val="en-US"/>
              </w:rPr>
            </w:pPr>
            <w:r w:rsidRPr="00577BDC">
              <w:rPr>
                <w:b/>
                <w:color w:val="000000"/>
                <w:lang w:val="en-US"/>
              </w:rPr>
              <w:t xml:space="preserve">2. 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Energia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electrică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livrată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către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„RED Nord” S.A.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6; 10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157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până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0,4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171</w:t>
            </w:r>
          </w:p>
        </w:tc>
      </w:tr>
      <w:tr w:rsidR="00577BDC" w:rsidRPr="00577BDC" w:rsidTr="003B7DD8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9348" w:type="dxa"/>
            <w:gridSpan w:val="2"/>
            <w:vAlign w:val="center"/>
          </w:tcPr>
          <w:p w:rsidR="00577BDC" w:rsidRPr="00577BDC" w:rsidRDefault="00577BDC" w:rsidP="003B7DD8">
            <w:pPr>
              <w:ind w:left="120" w:firstLine="300"/>
              <w:jc w:val="both"/>
              <w:rPr>
                <w:b/>
                <w:color w:val="000000"/>
                <w:lang w:val="en-US"/>
              </w:rPr>
            </w:pPr>
            <w:r w:rsidRPr="00577BDC">
              <w:rPr>
                <w:b/>
                <w:color w:val="000000"/>
                <w:lang w:val="en-US"/>
              </w:rPr>
              <w:t xml:space="preserve">3. 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Energia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electrică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livrată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b/>
                <w:color w:val="000000"/>
                <w:lang w:val="en-US"/>
              </w:rPr>
              <w:t>către</w:t>
            </w:r>
            <w:proofErr w:type="spellEnd"/>
            <w:r w:rsidRPr="00577BDC">
              <w:rPr>
                <w:b/>
                <w:color w:val="000000"/>
                <w:lang w:val="en-US"/>
              </w:rPr>
              <w:t xml:space="preserve"> „RED Nord-Vest” S.A.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35; 110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120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6; 10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157</w:t>
            </w:r>
          </w:p>
        </w:tc>
      </w:tr>
      <w:tr w:rsidR="00577BDC" w:rsidRPr="00582432" w:rsidTr="003B7DD8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6708" w:type="dxa"/>
            <w:vAlign w:val="center"/>
          </w:tcPr>
          <w:p w:rsidR="00577BDC" w:rsidRPr="00577BDC" w:rsidRDefault="00577BDC" w:rsidP="003B7DD8">
            <w:pPr>
              <w:ind w:left="120" w:hanging="120"/>
              <w:rPr>
                <w:color w:val="000000"/>
                <w:lang w:val="en-US"/>
              </w:rPr>
            </w:pPr>
            <w:r w:rsidRPr="00577BDC">
              <w:rPr>
                <w:color w:val="000000"/>
                <w:lang w:val="en-US"/>
              </w:rPr>
              <w:t xml:space="preserve">- </w:t>
            </w:r>
            <w:proofErr w:type="spellStart"/>
            <w:r w:rsidRPr="00577BDC">
              <w:rPr>
                <w:color w:val="000000"/>
                <w:lang w:val="en-US"/>
              </w:rPr>
              <w:t>pentru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consumatorii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finali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instalaţiile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cărora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sunt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racordate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</w:t>
            </w:r>
            <w:proofErr w:type="spellStart"/>
            <w:r w:rsidRPr="00577BDC">
              <w:rPr>
                <w:color w:val="000000"/>
                <w:lang w:val="en-US"/>
              </w:rPr>
              <w:t>reţelele</w:t>
            </w:r>
            <w:proofErr w:type="spellEnd"/>
            <w:r w:rsidRPr="00577BDC">
              <w:rPr>
                <w:color w:val="000000"/>
                <w:lang w:val="en-US"/>
              </w:rPr>
              <w:t xml:space="preserve"> de </w:t>
            </w:r>
            <w:proofErr w:type="spellStart"/>
            <w:r w:rsidRPr="00577BDC">
              <w:rPr>
                <w:color w:val="000000"/>
                <w:lang w:val="en-US"/>
              </w:rPr>
              <w:t>tensiune</w:t>
            </w:r>
            <w:proofErr w:type="spellEnd"/>
            <w:r w:rsidRPr="00577BDC">
              <w:rPr>
                <w:color w:val="000000"/>
                <w:lang w:val="en-US"/>
              </w:rPr>
              <w:t xml:space="preserve"> </w:t>
            </w:r>
            <w:proofErr w:type="spellStart"/>
            <w:r w:rsidRPr="00577BDC">
              <w:rPr>
                <w:color w:val="000000"/>
                <w:lang w:val="en-US"/>
              </w:rPr>
              <w:t>până</w:t>
            </w:r>
            <w:proofErr w:type="spellEnd"/>
            <w:r w:rsidRPr="00577BDC">
              <w:rPr>
                <w:color w:val="000000"/>
                <w:lang w:val="en-US"/>
              </w:rPr>
              <w:t xml:space="preserve"> la 0,4 kV</w:t>
            </w:r>
          </w:p>
        </w:tc>
        <w:tc>
          <w:tcPr>
            <w:tcW w:w="2640" w:type="dxa"/>
            <w:vAlign w:val="center"/>
          </w:tcPr>
          <w:p w:rsidR="00577BDC" w:rsidRPr="00582432" w:rsidRDefault="00577BDC" w:rsidP="003B7DD8">
            <w:pPr>
              <w:pStyle w:val="a8"/>
              <w:rPr>
                <w:smallCaps/>
                <w:color w:val="000000"/>
              </w:rPr>
            </w:pPr>
            <w:r w:rsidRPr="00582432">
              <w:rPr>
                <w:smallCaps/>
                <w:color w:val="000000"/>
              </w:rPr>
              <w:t>173</w:t>
            </w:r>
          </w:p>
        </w:tc>
      </w:tr>
    </w:tbl>
    <w:p w:rsidR="00577BDC" w:rsidRPr="00582432" w:rsidRDefault="00577BDC" w:rsidP="00577BDC">
      <w:pPr>
        <w:spacing w:before="120" w:after="120"/>
        <w:ind w:firstLine="720"/>
        <w:jc w:val="both"/>
        <w:rPr>
          <w:b/>
          <w:color w:val="000000"/>
        </w:rPr>
      </w:pPr>
      <w:proofErr w:type="spellStart"/>
      <w:r w:rsidRPr="00582432">
        <w:rPr>
          <w:b/>
          <w:color w:val="000000"/>
        </w:rPr>
        <w:t>Notă</w:t>
      </w:r>
      <w:proofErr w:type="spellEnd"/>
      <w:r w:rsidRPr="00582432">
        <w:rPr>
          <w:b/>
          <w:color w:val="000000"/>
        </w:rPr>
        <w:t>:</w:t>
      </w:r>
    </w:p>
    <w:p w:rsidR="00577BDC" w:rsidRPr="00577BDC" w:rsidRDefault="00577BDC" w:rsidP="00577BDC">
      <w:pPr>
        <w:ind w:firstLine="720"/>
        <w:jc w:val="both"/>
        <w:rPr>
          <w:color w:val="000000"/>
          <w:lang w:val="en-US"/>
        </w:rPr>
      </w:pPr>
      <w:r w:rsidRPr="00577BDC">
        <w:rPr>
          <w:color w:val="000000"/>
          <w:lang w:val="en-US"/>
        </w:rPr>
        <w:t xml:space="preserve">1.  </w:t>
      </w:r>
      <w:proofErr w:type="spellStart"/>
      <w:r w:rsidRPr="00577BDC">
        <w:rPr>
          <w:color w:val="000000"/>
          <w:lang w:val="en-US"/>
        </w:rPr>
        <w:t>Pentru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consumatorii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noncasnici</w:t>
      </w:r>
      <w:proofErr w:type="spellEnd"/>
      <w:r w:rsidRPr="00577BDC">
        <w:rPr>
          <w:color w:val="000000"/>
          <w:lang w:val="en-US"/>
        </w:rPr>
        <w:t xml:space="preserve">, care </w:t>
      </w:r>
      <w:proofErr w:type="spellStart"/>
      <w:r w:rsidRPr="00577BDC">
        <w:rPr>
          <w:color w:val="000000"/>
          <w:lang w:val="en-US"/>
        </w:rPr>
        <w:t>dispun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echipament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măsurare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corespunzător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plata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pentru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energia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electrică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consumată</w:t>
      </w:r>
      <w:proofErr w:type="spellEnd"/>
      <w:r w:rsidRPr="00577BDC">
        <w:rPr>
          <w:color w:val="000000"/>
          <w:lang w:val="en-US"/>
        </w:rPr>
        <w:t xml:space="preserve"> se </w:t>
      </w:r>
      <w:proofErr w:type="spellStart"/>
      <w:r w:rsidRPr="00577BDC">
        <w:rPr>
          <w:color w:val="000000"/>
          <w:lang w:val="en-US"/>
        </w:rPr>
        <w:t>efectuează</w:t>
      </w:r>
      <w:proofErr w:type="spellEnd"/>
      <w:r w:rsidRPr="00577BDC">
        <w:rPr>
          <w:color w:val="000000"/>
          <w:lang w:val="en-US"/>
        </w:rPr>
        <w:t xml:space="preserve"> la </w:t>
      </w:r>
      <w:proofErr w:type="spellStart"/>
      <w:r w:rsidRPr="00577BDC">
        <w:rPr>
          <w:color w:val="000000"/>
          <w:lang w:val="en-US"/>
        </w:rPr>
        <w:t>tarife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diferenţiate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funcţie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consum</w:t>
      </w:r>
      <w:proofErr w:type="spellEnd"/>
      <w:r w:rsidRPr="00577BDC">
        <w:rPr>
          <w:color w:val="000000"/>
          <w:lang w:val="en-US"/>
        </w:rPr>
        <w:t>:</w:t>
      </w:r>
    </w:p>
    <w:p w:rsidR="00577BDC" w:rsidRPr="00577BDC" w:rsidRDefault="00577BDC" w:rsidP="00577BDC">
      <w:pPr>
        <w:ind w:firstLine="720"/>
        <w:jc w:val="both"/>
        <w:rPr>
          <w:color w:val="000000"/>
          <w:lang w:val="en-US"/>
        </w:rPr>
      </w:pPr>
      <w:r w:rsidRPr="00577BDC">
        <w:rPr>
          <w:color w:val="000000"/>
          <w:lang w:val="en-US"/>
        </w:rPr>
        <w:t xml:space="preserve">- </w:t>
      </w:r>
      <w:proofErr w:type="spellStart"/>
      <w:proofErr w:type="gramStart"/>
      <w:r w:rsidRPr="00577BDC">
        <w:rPr>
          <w:color w:val="000000"/>
          <w:lang w:val="en-US"/>
        </w:rPr>
        <w:t>între</w:t>
      </w:r>
      <w:proofErr w:type="spellEnd"/>
      <w:proofErr w:type="gram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: 10-17, 20-22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trimestrele</w:t>
      </w:r>
      <w:proofErr w:type="spellEnd"/>
      <w:r w:rsidRPr="00577BDC">
        <w:rPr>
          <w:color w:val="000000"/>
          <w:lang w:val="en-US"/>
        </w:rPr>
        <w:t xml:space="preserve"> I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IV; </w:t>
      </w:r>
      <w:proofErr w:type="spellStart"/>
      <w:r w:rsidRPr="00577BDC">
        <w:rPr>
          <w:color w:val="000000"/>
          <w:lang w:val="en-US"/>
        </w:rPr>
        <w:t>între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10-20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trimestrele</w:t>
      </w:r>
      <w:proofErr w:type="spellEnd"/>
      <w:r w:rsidRPr="00577BDC">
        <w:rPr>
          <w:color w:val="000000"/>
          <w:lang w:val="en-US"/>
        </w:rPr>
        <w:t xml:space="preserve"> II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III ale </w:t>
      </w:r>
      <w:proofErr w:type="spellStart"/>
      <w:r w:rsidRPr="00577BDC">
        <w:rPr>
          <w:color w:val="000000"/>
          <w:lang w:val="en-US"/>
        </w:rPr>
        <w:t>anului</w:t>
      </w:r>
      <w:proofErr w:type="spellEnd"/>
      <w:r w:rsidRPr="00577BDC">
        <w:rPr>
          <w:color w:val="000000"/>
          <w:lang w:val="en-US"/>
        </w:rPr>
        <w:t xml:space="preserve"> - cu </w:t>
      </w:r>
      <w:proofErr w:type="spellStart"/>
      <w:r w:rsidRPr="00577BDC">
        <w:rPr>
          <w:color w:val="000000"/>
          <w:lang w:val="en-US"/>
        </w:rPr>
        <w:t>coeficientul</w:t>
      </w:r>
      <w:proofErr w:type="spellEnd"/>
      <w:r w:rsidRPr="00577BDC">
        <w:rPr>
          <w:color w:val="000000"/>
          <w:lang w:val="en-US"/>
        </w:rPr>
        <w:t xml:space="preserve"> 1,0 de la </w:t>
      </w:r>
      <w:proofErr w:type="spellStart"/>
      <w:r w:rsidRPr="00577BDC">
        <w:rPr>
          <w:color w:val="000000"/>
          <w:lang w:val="en-US"/>
        </w:rPr>
        <w:t>tariful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stabilit</w:t>
      </w:r>
      <w:proofErr w:type="spellEnd"/>
      <w:r w:rsidRPr="00577BDC">
        <w:rPr>
          <w:color w:val="000000"/>
          <w:lang w:val="en-US"/>
        </w:rPr>
        <w:t>;</w:t>
      </w:r>
    </w:p>
    <w:p w:rsidR="00577BDC" w:rsidRPr="00577BDC" w:rsidRDefault="00577BDC" w:rsidP="00577BDC">
      <w:pPr>
        <w:ind w:firstLine="720"/>
        <w:jc w:val="both"/>
        <w:rPr>
          <w:color w:val="000000"/>
          <w:lang w:val="en-US"/>
        </w:rPr>
      </w:pPr>
      <w:r w:rsidRPr="00577BDC">
        <w:rPr>
          <w:color w:val="000000"/>
          <w:lang w:val="en-US"/>
        </w:rPr>
        <w:t xml:space="preserve">-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vârf</w:t>
      </w:r>
      <w:proofErr w:type="spellEnd"/>
      <w:r w:rsidRPr="00577BDC">
        <w:rPr>
          <w:color w:val="000000"/>
          <w:lang w:val="en-US"/>
        </w:rPr>
        <w:t xml:space="preserve">: 7-10, 17-20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trimestrele</w:t>
      </w:r>
      <w:proofErr w:type="spellEnd"/>
      <w:r w:rsidRPr="00577BDC">
        <w:rPr>
          <w:color w:val="000000"/>
          <w:lang w:val="en-US"/>
        </w:rPr>
        <w:t xml:space="preserve"> I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IV;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vârf</w:t>
      </w:r>
      <w:proofErr w:type="spellEnd"/>
      <w:r w:rsidRPr="00577BDC">
        <w:rPr>
          <w:color w:val="000000"/>
          <w:lang w:val="en-US"/>
        </w:rPr>
        <w:t xml:space="preserve"> 7-10, 20-22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trimestrele</w:t>
      </w:r>
      <w:proofErr w:type="spellEnd"/>
      <w:r w:rsidRPr="00577BDC">
        <w:rPr>
          <w:color w:val="000000"/>
          <w:lang w:val="en-US"/>
        </w:rPr>
        <w:t xml:space="preserve"> II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III ale </w:t>
      </w:r>
      <w:proofErr w:type="spellStart"/>
      <w:r w:rsidRPr="00577BDC">
        <w:rPr>
          <w:color w:val="000000"/>
          <w:lang w:val="en-US"/>
        </w:rPr>
        <w:t>anului</w:t>
      </w:r>
      <w:proofErr w:type="spellEnd"/>
      <w:r w:rsidRPr="00577BDC">
        <w:rPr>
          <w:color w:val="000000"/>
          <w:lang w:val="en-US"/>
        </w:rPr>
        <w:t xml:space="preserve"> - cu </w:t>
      </w:r>
      <w:proofErr w:type="spellStart"/>
      <w:r w:rsidRPr="00577BDC">
        <w:rPr>
          <w:color w:val="000000"/>
          <w:lang w:val="en-US"/>
        </w:rPr>
        <w:t>coeficientul</w:t>
      </w:r>
      <w:proofErr w:type="spellEnd"/>
      <w:r w:rsidRPr="00577BDC">
        <w:rPr>
          <w:color w:val="000000"/>
          <w:lang w:val="en-US"/>
        </w:rPr>
        <w:t xml:space="preserve"> 1,6 de la </w:t>
      </w:r>
      <w:proofErr w:type="spellStart"/>
      <w:r w:rsidRPr="00577BDC">
        <w:rPr>
          <w:color w:val="000000"/>
          <w:lang w:val="en-US"/>
        </w:rPr>
        <w:t>tariful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stabilit</w:t>
      </w:r>
      <w:proofErr w:type="spellEnd"/>
      <w:r w:rsidRPr="00577BDC">
        <w:rPr>
          <w:color w:val="000000"/>
          <w:lang w:val="en-US"/>
        </w:rPr>
        <w:t>;</w:t>
      </w:r>
    </w:p>
    <w:p w:rsidR="00577BDC" w:rsidRPr="00577BDC" w:rsidRDefault="00577BDC" w:rsidP="00577BDC">
      <w:pPr>
        <w:ind w:firstLine="720"/>
        <w:jc w:val="both"/>
        <w:rPr>
          <w:color w:val="000000"/>
          <w:lang w:val="en-US"/>
        </w:rPr>
      </w:pPr>
      <w:r w:rsidRPr="00577BDC">
        <w:rPr>
          <w:color w:val="000000"/>
          <w:lang w:val="en-US"/>
        </w:rPr>
        <w:t xml:space="preserve">- </w:t>
      </w:r>
      <w:proofErr w:type="spellStart"/>
      <w:proofErr w:type="gramStart"/>
      <w:r w:rsidRPr="00577BDC">
        <w:rPr>
          <w:color w:val="000000"/>
          <w:lang w:val="en-US"/>
        </w:rPr>
        <w:t>în</w:t>
      </w:r>
      <w:proofErr w:type="spellEnd"/>
      <w:proofErr w:type="gram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noapte</w:t>
      </w:r>
      <w:proofErr w:type="spellEnd"/>
      <w:r w:rsidRPr="00577BDC">
        <w:rPr>
          <w:color w:val="000000"/>
          <w:lang w:val="en-US"/>
        </w:rPr>
        <w:t xml:space="preserve"> 22-7 </w:t>
      </w:r>
      <w:proofErr w:type="spellStart"/>
      <w:r w:rsidRPr="00577BDC">
        <w:rPr>
          <w:color w:val="000000"/>
          <w:lang w:val="en-US"/>
        </w:rPr>
        <w:t>pe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parcursul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întregului</w:t>
      </w:r>
      <w:proofErr w:type="spellEnd"/>
      <w:r w:rsidRPr="00577BDC">
        <w:rPr>
          <w:color w:val="000000"/>
          <w:lang w:val="en-US"/>
        </w:rPr>
        <w:t xml:space="preserve"> an - cu </w:t>
      </w:r>
      <w:proofErr w:type="spellStart"/>
      <w:r w:rsidRPr="00577BDC">
        <w:rPr>
          <w:color w:val="000000"/>
          <w:lang w:val="en-US"/>
        </w:rPr>
        <w:t>coeficientul</w:t>
      </w:r>
      <w:proofErr w:type="spellEnd"/>
      <w:r w:rsidRPr="00577BDC">
        <w:rPr>
          <w:color w:val="000000"/>
          <w:lang w:val="en-US"/>
        </w:rPr>
        <w:t xml:space="preserve"> 0,6 de la </w:t>
      </w:r>
      <w:proofErr w:type="spellStart"/>
      <w:r w:rsidRPr="00577BDC">
        <w:rPr>
          <w:color w:val="000000"/>
          <w:lang w:val="en-US"/>
        </w:rPr>
        <w:t>tariful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stabilit</w:t>
      </w:r>
      <w:proofErr w:type="spellEnd"/>
      <w:r w:rsidRPr="00577BDC">
        <w:rPr>
          <w:color w:val="000000"/>
          <w:lang w:val="en-US"/>
        </w:rPr>
        <w:t>.</w:t>
      </w:r>
    </w:p>
    <w:p w:rsidR="00577BDC" w:rsidRPr="00577BDC" w:rsidRDefault="00577BDC" w:rsidP="00577BDC">
      <w:pPr>
        <w:ind w:firstLine="720"/>
        <w:jc w:val="both"/>
        <w:rPr>
          <w:color w:val="000000"/>
          <w:lang w:val="en-US"/>
        </w:rPr>
      </w:pPr>
      <w:proofErr w:type="spellStart"/>
      <w:r w:rsidRPr="00577BDC">
        <w:rPr>
          <w:color w:val="000000"/>
          <w:lang w:val="en-US"/>
        </w:rPr>
        <w:lastRenderedPageBreak/>
        <w:t>Pentru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consumatorii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casnici</w:t>
      </w:r>
      <w:proofErr w:type="spellEnd"/>
      <w:r w:rsidRPr="00577BDC">
        <w:rPr>
          <w:color w:val="000000"/>
          <w:lang w:val="en-US"/>
        </w:rPr>
        <w:t xml:space="preserve">, care </w:t>
      </w:r>
      <w:proofErr w:type="spellStart"/>
      <w:r w:rsidRPr="00577BDC">
        <w:rPr>
          <w:color w:val="000000"/>
          <w:lang w:val="en-US"/>
        </w:rPr>
        <w:t>dispun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echipament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măsurare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corespunzător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plata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pentru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energiei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electrice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noapte</w:t>
      </w:r>
      <w:proofErr w:type="spellEnd"/>
      <w:r w:rsidRPr="00577BDC">
        <w:rPr>
          <w:color w:val="000000"/>
          <w:lang w:val="en-US"/>
        </w:rPr>
        <w:t xml:space="preserve"> (de la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22 </w:t>
      </w:r>
      <w:proofErr w:type="spellStart"/>
      <w:r w:rsidRPr="00577BDC">
        <w:rPr>
          <w:color w:val="000000"/>
          <w:lang w:val="en-US"/>
        </w:rPr>
        <w:t>până</w:t>
      </w:r>
      <w:proofErr w:type="spellEnd"/>
      <w:r w:rsidRPr="00577BDC">
        <w:rPr>
          <w:color w:val="000000"/>
          <w:lang w:val="en-US"/>
        </w:rPr>
        <w:t xml:space="preserve"> la </w:t>
      </w:r>
      <w:proofErr w:type="spellStart"/>
      <w:r w:rsidRPr="00577BDC">
        <w:rPr>
          <w:color w:val="000000"/>
          <w:lang w:val="en-US"/>
        </w:rPr>
        <w:t>orele</w:t>
      </w:r>
      <w:proofErr w:type="spellEnd"/>
      <w:r w:rsidRPr="00577BDC">
        <w:rPr>
          <w:color w:val="000000"/>
          <w:lang w:val="en-US"/>
        </w:rPr>
        <w:t xml:space="preserve"> 6) se </w:t>
      </w:r>
      <w:proofErr w:type="spellStart"/>
      <w:r w:rsidRPr="00577BDC">
        <w:rPr>
          <w:color w:val="000000"/>
          <w:lang w:val="en-US"/>
        </w:rPr>
        <w:t>efectuează</w:t>
      </w:r>
      <w:proofErr w:type="spellEnd"/>
      <w:r w:rsidRPr="00577BDC">
        <w:rPr>
          <w:color w:val="000000"/>
          <w:lang w:val="en-US"/>
        </w:rPr>
        <w:t xml:space="preserve"> cu </w:t>
      </w:r>
      <w:proofErr w:type="spellStart"/>
      <w:r w:rsidRPr="00577BDC">
        <w:rPr>
          <w:color w:val="000000"/>
          <w:lang w:val="en-US"/>
        </w:rPr>
        <w:t>coeficientul</w:t>
      </w:r>
      <w:proofErr w:type="spellEnd"/>
      <w:r w:rsidRPr="00577BDC">
        <w:rPr>
          <w:color w:val="000000"/>
          <w:lang w:val="en-US"/>
        </w:rPr>
        <w:t xml:space="preserve"> 0,6 de la </w:t>
      </w:r>
      <w:proofErr w:type="spellStart"/>
      <w:r w:rsidRPr="00577BDC">
        <w:rPr>
          <w:color w:val="000000"/>
          <w:lang w:val="en-US"/>
        </w:rPr>
        <w:t>tariful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stabilit</w:t>
      </w:r>
      <w:proofErr w:type="spellEnd"/>
      <w:r w:rsidRPr="00577BDC">
        <w:rPr>
          <w:color w:val="000000"/>
          <w:lang w:val="en-US"/>
        </w:rPr>
        <w:t>.</w:t>
      </w:r>
    </w:p>
    <w:p w:rsidR="00577BDC" w:rsidRPr="00577BDC" w:rsidRDefault="00577BDC" w:rsidP="00577BDC">
      <w:pPr>
        <w:spacing w:after="120"/>
        <w:ind w:firstLine="720"/>
        <w:jc w:val="both"/>
        <w:rPr>
          <w:color w:val="000000"/>
          <w:lang w:val="en-US"/>
        </w:rPr>
      </w:pPr>
      <w:proofErr w:type="spellStart"/>
      <w:r w:rsidRPr="00577BDC">
        <w:rPr>
          <w:color w:val="000000"/>
          <w:lang w:val="en-US"/>
        </w:rPr>
        <w:t>Aceste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prevederi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sunt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valabile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cazul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când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contractele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procurare</w:t>
      </w:r>
      <w:proofErr w:type="spellEnd"/>
      <w:r w:rsidRPr="00577BDC">
        <w:rPr>
          <w:color w:val="000000"/>
          <w:lang w:val="en-US"/>
        </w:rPr>
        <w:t xml:space="preserve"> </w:t>
      </w:r>
      <w:proofErr w:type="gramStart"/>
      <w:r w:rsidRPr="00577BDC">
        <w:rPr>
          <w:color w:val="000000"/>
          <w:lang w:val="en-US"/>
        </w:rPr>
        <w:t>a</w:t>
      </w:r>
      <w:proofErr w:type="gram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energiei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electrice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semnate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furnizor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respectiv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contractul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dintre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furnizor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consumatorul</w:t>
      </w:r>
      <w:proofErr w:type="spellEnd"/>
      <w:r w:rsidRPr="00577BDC">
        <w:rPr>
          <w:color w:val="000000"/>
          <w:lang w:val="en-US"/>
        </w:rPr>
        <w:t xml:space="preserve"> final </w:t>
      </w:r>
      <w:proofErr w:type="spellStart"/>
      <w:r w:rsidRPr="00577BDC">
        <w:rPr>
          <w:color w:val="000000"/>
          <w:lang w:val="en-US"/>
        </w:rPr>
        <w:t>includ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asemenea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clauze</w:t>
      </w:r>
      <w:proofErr w:type="spellEnd"/>
      <w:r w:rsidRPr="00577BDC">
        <w:rPr>
          <w:color w:val="000000"/>
          <w:lang w:val="en-US"/>
        </w:rPr>
        <w:t>.</w:t>
      </w:r>
    </w:p>
    <w:p w:rsidR="00577BDC" w:rsidRPr="00577BDC" w:rsidRDefault="00577BDC" w:rsidP="00577BDC">
      <w:pPr>
        <w:spacing w:after="120"/>
        <w:ind w:firstLine="720"/>
        <w:jc w:val="both"/>
        <w:rPr>
          <w:b/>
          <w:color w:val="000000"/>
          <w:lang w:val="en-US"/>
        </w:rPr>
      </w:pPr>
      <w:r w:rsidRPr="00577BDC">
        <w:rPr>
          <w:color w:val="000000"/>
          <w:lang w:val="en-US"/>
        </w:rPr>
        <w:t xml:space="preserve">2.  </w:t>
      </w:r>
      <w:proofErr w:type="spellStart"/>
      <w:r w:rsidRPr="00577BDC">
        <w:rPr>
          <w:color w:val="000000"/>
          <w:lang w:val="en-US"/>
        </w:rPr>
        <w:t>Consumatorii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noncasnici</w:t>
      </w:r>
      <w:proofErr w:type="spellEnd"/>
      <w:r w:rsidRPr="00577BDC">
        <w:rPr>
          <w:color w:val="000000"/>
          <w:lang w:val="en-US"/>
        </w:rPr>
        <w:t xml:space="preserve"> cu </w:t>
      </w:r>
      <w:proofErr w:type="spellStart"/>
      <w:r w:rsidRPr="00577BDC">
        <w:rPr>
          <w:color w:val="000000"/>
          <w:lang w:val="en-US"/>
        </w:rPr>
        <w:t>puterea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permisă</w:t>
      </w:r>
      <w:proofErr w:type="spellEnd"/>
      <w:r w:rsidRPr="00577BDC">
        <w:rPr>
          <w:color w:val="000000"/>
          <w:lang w:val="en-US"/>
        </w:rPr>
        <w:t xml:space="preserve"> de 50 </w:t>
      </w:r>
      <w:proofErr w:type="spellStart"/>
      <w:r w:rsidRPr="00577BDC">
        <w:rPr>
          <w:color w:val="000000"/>
          <w:lang w:val="en-US"/>
        </w:rPr>
        <w:t>kVA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mai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mult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consumul</w:t>
      </w:r>
      <w:proofErr w:type="spellEnd"/>
      <w:r w:rsidRPr="00577BDC">
        <w:rPr>
          <w:color w:val="000000"/>
          <w:lang w:val="en-US"/>
        </w:rPr>
        <w:t xml:space="preserve"> lunar de </w:t>
      </w:r>
      <w:proofErr w:type="spellStart"/>
      <w:r w:rsidRPr="00577BDC">
        <w:rPr>
          <w:color w:val="000000"/>
          <w:lang w:val="en-US"/>
        </w:rPr>
        <w:t>energie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activă</w:t>
      </w:r>
      <w:proofErr w:type="spellEnd"/>
      <w:r w:rsidRPr="00577BDC">
        <w:rPr>
          <w:color w:val="000000"/>
          <w:lang w:val="en-US"/>
        </w:rPr>
        <w:t xml:space="preserve"> de 10 000 kWh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mai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mult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vor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compensa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furnizorului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tehnologic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reţelele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distribuţie</w:t>
      </w:r>
      <w:proofErr w:type="spellEnd"/>
      <w:r w:rsidRPr="00577BDC">
        <w:rPr>
          <w:color w:val="000000"/>
          <w:lang w:val="en-US"/>
        </w:rPr>
        <w:t xml:space="preserve">,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dependenţă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valoarea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factorului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putere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instalaţiile</w:t>
      </w:r>
      <w:proofErr w:type="spellEnd"/>
      <w:r w:rsidRPr="00577BDC">
        <w:rPr>
          <w:color w:val="000000"/>
          <w:lang w:val="en-US"/>
        </w:rPr>
        <w:t xml:space="preserve"> sale de </w:t>
      </w:r>
      <w:proofErr w:type="spellStart"/>
      <w:r w:rsidRPr="00577BDC">
        <w:rPr>
          <w:color w:val="000000"/>
          <w:lang w:val="en-US"/>
        </w:rPr>
        <w:t>utilizare</w:t>
      </w:r>
      <w:proofErr w:type="spellEnd"/>
      <w:r w:rsidRPr="00577BDC">
        <w:rPr>
          <w:color w:val="000000"/>
          <w:lang w:val="en-US"/>
        </w:rPr>
        <w:t xml:space="preserve">. </w:t>
      </w:r>
      <w:proofErr w:type="spellStart"/>
      <w:r w:rsidRPr="00577BDC">
        <w:rPr>
          <w:color w:val="000000"/>
          <w:lang w:val="en-US"/>
        </w:rPr>
        <w:t>Criteriile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stabilire</w:t>
      </w:r>
      <w:proofErr w:type="spellEnd"/>
      <w:r w:rsidRPr="00577BDC">
        <w:rPr>
          <w:color w:val="000000"/>
          <w:lang w:val="en-US"/>
        </w:rPr>
        <w:t xml:space="preserve"> a </w:t>
      </w:r>
      <w:proofErr w:type="spellStart"/>
      <w:r w:rsidRPr="00577BDC">
        <w:rPr>
          <w:color w:val="000000"/>
          <w:lang w:val="en-US"/>
        </w:rPr>
        <w:t>consumatorilor</w:t>
      </w:r>
      <w:proofErr w:type="spellEnd"/>
      <w:r w:rsidRPr="00577BDC">
        <w:rPr>
          <w:color w:val="000000"/>
          <w:lang w:val="en-US"/>
        </w:rPr>
        <w:t xml:space="preserve"> care </w:t>
      </w:r>
      <w:proofErr w:type="spellStart"/>
      <w:r w:rsidRPr="00577BDC">
        <w:rPr>
          <w:color w:val="000000"/>
          <w:lang w:val="en-US"/>
        </w:rPr>
        <w:t>vor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achita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consumul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tehnologic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reţeaua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distribuţie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şi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condiţiile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achitare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sunt</w:t>
      </w:r>
      <w:proofErr w:type="spellEnd"/>
      <w:r w:rsidRPr="00577BDC">
        <w:rPr>
          <w:color w:val="000000"/>
          <w:lang w:val="en-US"/>
        </w:rPr>
        <w:t xml:space="preserve"> indicate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“</w:t>
      </w:r>
      <w:proofErr w:type="spellStart"/>
      <w:r w:rsidRPr="00577BDC">
        <w:rPr>
          <w:color w:val="000000"/>
          <w:lang w:val="en-US"/>
        </w:rPr>
        <w:t>Instrucţiunea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privind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calcularea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consumului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tehnologic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energie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electrică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reţeaua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distribuţie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dependenţă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valoarea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factorului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putere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în</w:t>
      </w:r>
      <w:proofErr w:type="spellEnd"/>
      <w:r w:rsidRPr="00577BDC">
        <w:rPr>
          <w:color w:val="000000"/>
          <w:lang w:val="en-US"/>
        </w:rPr>
        <w:t xml:space="preserve"> </w:t>
      </w:r>
      <w:proofErr w:type="spellStart"/>
      <w:r w:rsidRPr="00577BDC">
        <w:rPr>
          <w:color w:val="000000"/>
          <w:lang w:val="en-US"/>
        </w:rPr>
        <w:t>instalaţiile</w:t>
      </w:r>
      <w:proofErr w:type="spellEnd"/>
      <w:r w:rsidRPr="00577BDC">
        <w:rPr>
          <w:color w:val="000000"/>
          <w:lang w:val="en-US"/>
        </w:rPr>
        <w:t xml:space="preserve"> de </w:t>
      </w:r>
      <w:proofErr w:type="spellStart"/>
      <w:r w:rsidRPr="00577BDC">
        <w:rPr>
          <w:color w:val="000000"/>
          <w:lang w:val="en-US"/>
        </w:rPr>
        <w:t>utilizare</w:t>
      </w:r>
      <w:proofErr w:type="spellEnd"/>
      <w:r w:rsidRPr="00577BDC">
        <w:rPr>
          <w:color w:val="000000"/>
          <w:lang w:val="en-US"/>
        </w:rPr>
        <w:t xml:space="preserve"> ale </w:t>
      </w:r>
      <w:proofErr w:type="spellStart"/>
      <w:r w:rsidRPr="00577BDC">
        <w:rPr>
          <w:color w:val="000000"/>
          <w:lang w:val="en-US"/>
        </w:rPr>
        <w:t>consumatorilor</w:t>
      </w:r>
      <w:proofErr w:type="spellEnd"/>
      <w:r w:rsidRPr="00577BDC">
        <w:rPr>
          <w:color w:val="000000"/>
          <w:lang w:val="en-US"/>
        </w:rPr>
        <w:t>”.</w:t>
      </w:r>
    </w:p>
    <w:p w:rsidR="00577BDC" w:rsidRPr="00577BDC" w:rsidRDefault="00577BDC" w:rsidP="00577BDC">
      <w:pPr>
        <w:rPr>
          <w:lang w:val="en-US"/>
        </w:rPr>
      </w:pPr>
    </w:p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428"/>
        <w:gridCol w:w="3527"/>
      </w:tblGrid>
      <w:tr w:rsidR="00577BDC" w:rsidRPr="00577BDC" w:rsidTr="00577BDC">
        <w:trPr>
          <w:tblCellSpacing w:w="75" w:type="dxa"/>
        </w:trPr>
        <w:tc>
          <w:tcPr>
            <w:tcW w:w="0" w:type="auto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HANREC470/2012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 343180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"http://lex.justice.md/viewdoc.php?action=view&amp;view=doc&amp;id=343180&amp;lang=1" </w:instrTex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577B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Varianta în limba de stat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"http://lex.justice.md/viewdoc.php?action=view&amp;view=doc&amp;id=343180&amp;lang=2" </w:instrTex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577B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Карточка документа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3" name="Рисунок 3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НАЦИОНАЛЬНОЕ АГЕНТСТВО ПО РЕГУЛИРОВАНИЮ В ЭНЕРГЕТИКЕ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ПОСТАНОВЛЕНИЕ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470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 11.05.2012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тарифах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электрическую энергию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15.05.2012 в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92     статья № : 577     Дата вступления в силу : 15.05.2012 </w:t>
            </w:r>
          </w:p>
        </w:tc>
      </w:tr>
      <w:tr w:rsidR="00577BDC" w:rsidRPr="00577BDC" w:rsidTr="00577BDC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77BDC" w:rsidRPr="00577BDC" w:rsidRDefault="00577BDC" w:rsidP="00577BDC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    В целях приведения тарифов на электрическую энергию в соответствие с реальными затратами, связанными с приобретением, распределением и поставкой электрической энергии, эффективной эксплуатацией распределительных сетей и оборудования, Административный совет Национального агентства по регулированию в энергетике ПОСТАНОВЛЯЕТ: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1. Утвердить тарифы на электрическую энергию, поставляемую конечным потребителям ПИК «RED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Fenosa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АО, АО «RED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Nord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и АО «RED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Nord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Vest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», согласно приложению.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2. Признать утратившим силу Постановление Административного совета 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Национального агентства по регулированию в энергетике № 410 от 15 апреля 2011 года (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Monitorul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Oficial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Republicii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Moldova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№ 63-64/320 от 20.04.2011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3.  Настоящее постановление вводится в действие со дня опубликования.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АДМИНИСТРАТИВНЫЙ СОВЕТ НАРЭ: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Генеральный директор                                                 Виктор ПАРЛИКОВ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Директор                                                                         Леонид БЕЛИНСКИ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Директор                                                                        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Мариана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БОТЕЗАТУ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Директор                                                                         Марин ПРОФИР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Директор                                                                         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РАЙЛЯНУ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№ 470.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Кишинэу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, 11 мая 2012 г.</w:t>
            </w:r>
          </w:p>
          <w:p w:rsidR="00577BDC" w:rsidRPr="00577BDC" w:rsidRDefault="00577BDC" w:rsidP="00577BD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Постановлению Административного совета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НАРЭ № 470 от 11 мая 2012 г.</w:t>
            </w:r>
          </w:p>
          <w:p w:rsidR="00577BDC" w:rsidRPr="00577BDC" w:rsidRDefault="00577BDC" w:rsidP="005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Тарифы на электрическую энергию</w:t>
            </w:r>
          </w:p>
          <w:p w:rsidR="00577BDC" w:rsidRPr="00577BDC" w:rsidRDefault="00577BDC" w:rsidP="0057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844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887"/>
              <w:gridCol w:w="2558"/>
            </w:tblGrid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Категории потребителей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Тариф без НДС (бань/кВтч)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936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1. Электрическая энергия, поставляемая ПИК «RED </w:t>
                  </w:r>
                  <w:proofErr w:type="spellStart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Union</w:t>
                  </w:r>
                  <w:proofErr w:type="spellEnd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Fenosa</w:t>
                  </w:r>
                  <w:proofErr w:type="spellEnd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» АО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35; 110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117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6; 10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140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до 0,4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158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936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2. Электрическая энергия, поставляемая АО«RED </w:t>
                  </w:r>
                  <w:proofErr w:type="spellStart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Nord</w:t>
                  </w:r>
                  <w:proofErr w:type="spellEnd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»</w:t>
                  </w: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6; 10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157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до 0,4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171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936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3. Электрическая энергия, поставляемая АО«RED </w:t>
                  </w:r>
                  <w:proofErr w:type="spellStart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Nord-Vest</w:t>
                  </w:r>
                  <w:proofErr w:type="spellEnd"/>
                  <w:r w:rsidRPr="00577BD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»</w:t>
                  </w: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35; 110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120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6; 10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157 </w:t>
                  </w:r>
                </w:p>
              </w:tc>
            </w:tr>
            <w:tr w:rsidR="00577BDC" w:rsidRPr="00577BDC">
              <w:trPr>
                <w:tblCellSpacing w:w="0" w:type="dxa"/>
              </w:trPr>
              <w:tc>
                <w:tcPr>
                  <w:tcW w:w="6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для конечных потребителей, чьи установки подключены к сетям напряжением до 0,4 кВ</w:t>
                  </w:r>
                </w:p>
              </w:tc>
              <w:tc>
                <w:tcPr>
                  <w:tcW w:w="27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7BDC" w:rsidRPr="00577BDC" w:rsidRDefault="00577BDC" w:rsidP="00577B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B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173 </w:t>
                  </w:r>
                </w:p>
              </w:tc>
            </w:tr>
          </w:tbl>
          <w:p w:rsidR="00577BDC" w:rsidRPr="00577BDC" w:rsidRDefault="00577BDC" w:rsidP="0057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</w:t>
            </w:r>
            <w:r w:rsidRPr="0057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Примечания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1. Для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небытовых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потребителей, располагающих соответствующим измерительным оборудованием, плата за потребленную электроэнергию осуществляется по дифференцированным тарифам в зависимости от времени потребления: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- между: 10-17 час., 20-22 час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и IV кварталах года и 10-20 час. во II и III кварталах года - с коэффициентом 1,0 от установленного тарифа;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- в часы пик: 7-10 час., 17-20 час. в I и IV кварталах и в часы пик 7-10 час., 20-22 час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о II и III кварталах года - с коэффициентом 1,6 от установленного тарифа;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 - в ночные часы: весь год с 22 до 7 час. - с коэффициентом 0,6 от установленного тарифа.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Для бытовых потребителей, располагающих соответствующим измерительным оборудованием, плата за потребленную электроэнергию в ночные часы (с 22 до 6 час.) взимается с коэффициентом 0,6 от установленного тарифа.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Вышеуказанные положения действительны в случае, когда договора на приобретение электроэнергии, подписанные поставщиками, и, соответственно, договор между поставщиком и конечным потребителем предусматривают одинаковые условия.</w:t>
            </w:r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2.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Небытовые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потребители с установленной мощностью 50 </w:t>
            </w:r>
            <w:proofErr w:type="spell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более и месячным потреблением активной энергии 10 000 </w:t>
            </w:r>
            <w:proofErr w:type="spellStart"/>
            <w:proofErr w:type="gramStart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>кВт-ч</w:t>
            </w:r>
            <w:proofErr w:type="spellEnd"/>
            <w:proofErr w:type="gramEnd"/>
            <w:r w:rsidRPr="00577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более компенсируют поставщику технологический расход электроэнергии в распределительных сетях, рассчитанный в зависимости от коэффициента мощности в электроустановках потребителей. Критерии установления потребителей, которые должны оплачивать технологический расход в распределительных сетях, и условия оплаты предусматриваются Инструкцией по расчету технологического расхода электрической энергии в распределительных сетях в зависимости от коэффициента мощности в электроустановках потребителей.</w:t>
            </w:r>
          </w:p>
        </w:tc>
      </w:tr>
    </w:tbl>
    <w:p w:rsidR="00DA06AE" w:rsidRPr="00577BDC" w:rsidRDefault="00DA06AE" w:rsidP="00577BDC"/>
    <w:sectPr w:rsidR="00DA06AE" w:rsidRPr="00577BDC" w:rsidSect="00F04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06AE"/>
    <w:rsid w:val="00577BDC"/>
    <w:rsid w:val="00DA06AE"/>
    <w:rsid w:val="00F0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06AE"/>
    <w:rPr>
      <w:b/>
      <w:bCs/>
    </w:rPr>
  </w:style>
  <w:style w:type="character" w:customStyle="1" w:styleId="docheader">
    <w:name w:val="doc_header"/>
    <w:basedOn w:val="a0"/>
    <w:rsid w:val="00DA06AE"/>
  </w:style>
  <w:style w:type="character" w:customStyle="1" w:styleId="docsign1">
    <w:name w:val="doc_sign1"/>
    <w:basedOn w:val="a0"/>
    <w:rsid w:val="00DA06AE"/>
  </w:style>
  <w:style w:type="paragraph" w:styleId="a4">
    <w:name w:val="Normal (Web)"/>
    <w:basedOn w:val="a"/>
    <w:uiPriority w:val="99"/>
    <w:unhideWhenUsed/>
    <w:rsid w:val="00DA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77B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7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7BD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577B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77BD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UserFiles/File/2012/mo92md/Anexa_47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lex.justice.md/viewdoc.php?action=view&amp;view=doc&amp;id=343180&amp;lang=1" TargetMode="External"/><Relationship Id="rId4" Type="http://schemas.openxmlformats.org/officeDocument/2006/relationships/hyperlink" Target="http://lex.justice.md/viewdoc.php?action=view&amp;view=doc&amp;id=343180&amp;lang=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1411</Words>
  <Characters>8048</Characters>
  <Application>Microsoft Office Word</Application>
  <DocSecurity>0</DocSecurity>
  <Lines>67</Lines>
  <Paragraphs>18</Paragraphs>
  <ScaleCrop>false</ScaleCrop>
  <Company>AMAC</Company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4</cp:revision>
  <dcterms:created xsi:type="dcterms:W3CDTF">2012-03-15T13:45:00Z</dcterms:created>
  <dcterms:modified xsi:type="dcterms:W3CDTF">2012-06-21T10:30:00Z</dcterms:modified>
</cp:coreProperties>
</file>