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D7E" w:rsidRDefault="00161D7E">
      <w:pPr>
        <w:rPr>
          <w:lang w:val="en-US"/>
        </w:rPr>
      </w:pPr>
    </w:p>
    <w:tbl>
      <w:tblPr>
        <w:tblW w:w="5000" w:type="pct"/>
        <w:tblCellSpacing w:w="75" w:type="dxa"/>
        <w:tblCellMar>
          <w:top w:w="150" w:type="dxa"/>
          <w:left w:w="150" w:type="dxa"/>
          <w:bottom w:w="150" w:type="dxa"/>
          <w:right w:w="150" w:type="dxa"/>
        </w:tblCellMar>
        <w:tblLook w:val="04A0"/>
      </w:tblPr>
      <w:tblGrid>
        <w:gridCol w:w="5822"/>
        <w:gridCol w:w="4133"/>
      </w:tblGrid>
      <w:tr w:rsidR="00161D7E" w:rsidTr="00161D7E">
        <w:trPr>
          <w:tblCellSpacing w:w="75" w:type="dxa"/>
        </w:trPr>
        <w:tc>
          <w:tcPr>
            <w:tcW w:w="0" w:type="auto"/>
            <w:vAlign w:val="center"/>
            <w:hideMark/>
          </w:tcPr>
          <w:p w:rsidR="00161D7E" w:rsidRDefault="00161D7E">
            <w:pPr>
              <w:rPr>
                <w:sz w:val="24"/>
                <w:szCs w:val="24"/>
              </w:rPr>
            </w:pPr>
            <w:r>
              <w:t>HGM165/2010</w:t>
            </w:r>
            <w:r>
              <w:br/>
              <w:t xml:space="preserve">ID </w:t>
            </w:r>
            <w:proofErr w:type="spellStart"/>
            <w:r>
              <w:t>intern</w:t>
            </w:r>
            <w:proofErr w:type="spellEnd"/>
            <w:r>
              <w:t xml:space="preserve"> </w:t>
            </w:r>
            <w:proofErr w:type="spellStart"/>
            <w:r>
              <w:t>unic</w:t>
            </w:r>
            <w:proofErr w:type="spellEnd"/>
            <w:r>
              <w:t xml:space="preserve">:  333943 </w:t>
            </w:r>
            <w:r>
              <w:br/>
            </w:r>
            <w:hyperlink r:id="rId4" w:history="1">
              <w:r>
                <w:rPr>
                  <w:rStyle w:val="a3"/>
                </w:rPr>
                <w:t>Версия на русском</w:t>
              </w:r>
            </w:hyperlink>
            <w:r>
              <w:t xml:space="preserve"> </w:t>
            </w:r>
          </w:p>
        </w:tc>
        <w:tc>
          <w:tcPr>
            <w:tcW w:w="0" w:type="auto"/>
            <w:vAlign w:val="center"/>
            <w:hideMark/>
          </w:tcPr>
          <w:p w:rsidR="00161D7E" w:rsidRDefault="00161D7E">
            <w:pPr>
              <w:jc w:val="right"/>
              <w:rPr>
                <w:sz w:val="24"/>
                <w:szCs w:val="24"/>
              </w:rPr>
            </w:pPr>
            <w:hyperlink r:id="rId5" w:history="1">
              <w:proofErr w:type="spellStart"/>
              <w:r>
                <w:rPr>
                  <w:rStyle w:val="a3"/>
                </w:rPr>
                <w:t>Fişa</w:t>
              </w:r>
              <w:proofErr w:type="spellEnd"/>
              <w:r>
                <w:rPr>
                  <w:rStyle w:val="a3"/>
                </w:rPr>
                <w:t xml:space="preserve"> </w:t>
              </w:r>
              <w:proofErr w:type="spellStart"/>
              <w:r>
                <w:rPr>
                  <w:rStyle w:val="a3"/>
                </w:rPr>
                <w:t>actului</w:t>
              </w:r>
              <w:proofErr w:type="spellEnd"/>
              <w:r>
                <w:rPr>
                  <w:rStyle w:val="a3"/>
                </w:rPr>
                <w:t xml:space="preserve"> </w:t>
              </w:r>
              <w:proofErr w:type="spellStart"/>
              <w:r>
                <w:rPr>
                  <w:rStyle w:val="a3"/>
                </w:rPr>
                <w:t>juridic</w:t>
              </w:r>
              <w:proofErr w:type="spellEnd"/>
            </w:hyperlink>
            <w:r>
              <w:t xml:space="preserve"> </w:t>
            </w:r>
          </w:p>
        </w:tc>
      </w:tr>
      <w:tr w:rsidR="00161D7E" w:rsidTr="00161D7E">
        <w:trPr>
          <w:tblCellSpacing w:w="75" w:type="dxa"/>
        </w:trPr>
        <w:tc>
          <w:tcPr>
            <w:tcW w:w="0" w:type="auto"/>
            <w:gridSpan w:val="2"/>
            <w:vAlign w:val="center"/>
            <w:hideMark/>
          </w:tcPr>
          <w:p w:rsidR="00161D7E" w:rsidRDefault="00161D7E">
            <w:pPr>
              <w:jc w:val="center"/>
              <w:rPr>
                <w:sz w:val="24"/>
                <w:szCs w:val="24"/>
              </w:rPr>
            </w:pPr>
            <w:r>
              <w:rPr>
                <w:noProof/>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br/>
            </w:r>
            <w:proofErr w:type="spellStart"/>
            <w:r>
              <w:rPr>
                <w:rStyle w:val="a4"/>
              </w:rPr>
              <w:t>Republica</w:t>
            </w:r>
            <w:proofErr w:type="spellEnd"/>
            <w:r>
              <w:rPr>
                <w:rStyle w:val="a4"/>
              </w:rPr>
              <w:t xml:space="preserve"> </w:t>
            </w:r>
            <w:proofErr w:type="spellStart"/>
            <w:r>
              <w:rPr>
                <w:rStyle w:val="a4"/>
              </w:rPr>
              <w:t>Moldova</w:t>
            </w:r>
            <w:proofErr w:type="spellEnd"/>
          </w:p>
        </w:tc>
      </w:tr>
      <w:tr w:rsidR="00161D7E" w:rsidTr="00161D7E">
        <w:trPr>
          <w:tblCellSpacing w:w="75" w:type="dxa"/>
        </w:trPr>
        <w:tc>
          <w:tcPr>
            <w:tcW w:w="0" w:type="auto"/>
            <w:gridSpan w:val="2"/>
            <w:vAlign w:val="center"/>
            <w:hideMark/>
          </w:tcPr>
          <w:p w:rsidR="00161D7E" w:rsidRDefault="00161D7E">
            <w:pPr>
              <w:jc w:val="center"/>
              <w:rPr>
                <w:sz w:val="24"/>
                <w:szCs w:val="24"/>
              </w:rPr>
            </w:pPr>
            <w:r>
              <w:rPr>
                <w:rStyle w:val="a4"/>
              </w:rPr>
              <w:t>GUVERNUL</w:t>
            </w:r>
          </w:p>
        </w:tc>
      </w:tr>
      <w:tr w:rsidR="00161D7E" w:rsidTr="00161D7E">
        <w:trPr>
          <w:tblCellSpacing w:w="75" w:type="dxa"/>
        </w:trPr>
        <w:tc>
          <w:tcPr>
            <w:tcW w:w="0" w:type="auto"/>
            <w:gridSpan w:val="2"/>
            <w:vAlign w:val="center"/>
            <w:hideMark/>
          </w:tcPr>
          <w:p w:rsidR="00161D7E" w:rsidRDefault="00161D7E">
            <w:pPr>
              <w:jc w:val="center"/>
              <w:rPr>
                <w:sz w:val="24"/>
                <w:szCs w:val="24"/>
              </w:rPr>
            </w:pPr>
            <w:r>
              <w:rPr>
                <w:rStyle w:val="a4"/>
              </w:rPr>
              <w:t>HOTĂRÎRE</w:t>
            </w:r>
            <w:r>
              <w:t xml:space="preserve"> </w:t>
            </w:r>
            <w:proofErr w:type="spellStart"/>
            <w:r>
              <w:t>Nr</w:t>
            </w:r>
            <w:proofErr w:type="spellEnd"/>
            <w:r>
              <w:t xml:space="preserve">. 165 </w:t>
            </w:r>
            <w:r>
              <w:br/>
            </w:r>
            <w:proofErr w:type="spellStart"/>
            <w:r>
              <w:t>din</w:t>
            </w:r>
            <w:proofErr w:type="spellEnd"/>
            <w:r>
              <w:t xml:space="preserve">  09.03.2010 </w:t>
            </w:r>
          </w:p>
        </w:tc>
      </w:tr>
      <w:tr w:rsidR="00161D7E" w:rsidRPr="00161D7E" w:rsidTr="00161D7E">
        <w:trPr>
          <w:tblCellSpacing w:w="75" w:type="dxa"/>
        </w:trPr>
        <w:tc>
          <w:tcPr>
            <w:tcW w:w="0" w:type="auto"/>
            <w:gridSpan w:val="2"/>
            <w:vAlign w:val="center"/>
            <w:hideMark/>
          </w:tcPr>
          <w:p w:rsidR="00161D7E" w:rsidRPr="00161D7E" w:rsidRDefault="00161D7E">
            <w:pPr>
              <w:jc w:val="center"/>
              <w:rPr>
                <w:b/>
                <w:bCs/>
                <w:sz w:val="24"/>
                <w:szCs w:val="24"/>
                <w:lang w:val="en-US"/>
              </w:rPr>
            </w:pPr>
            <w:r w:rsidRPr="00161D7E">
              <w:rPr>
                <w:rStyle w:val="docheader"/>
                <w:b/>
                <w:bCs/>
                <w:lang w:val="en-US"/>
              </w:rPr>
              <w:t>cu privire la cuantumul minim garantat al salariului în sectorul real</w:t>
            </w:r>
          </w:p>
        </w:tc>
      </w:tr>
      <w:tr w:rsidR="00161D7E" w:rsidRPr="00161D7E" w:rsidTr="00161D7E">
        <w:trPr>
          <w:tblCellSpacing w:w="75" w:type="dxa"/>
        </w:trPr>
        <w:tc>
          <w:tcPr>
            <w:tcW w:w="0" w:type="auto"/>
            <w:gridSpan w:val="2"/>
            <w:vAlign w:val="center"/>
            <w:hideMark/>
          </w:tcPr>
          <w:p w:rsidR="00161D7E" w:rsidRPr="00161D7E" w:rsidRDefault="00161D7E" w:rsidP="00161D7E">
            <w:pPr>
              <w:rPr>
                <w:sz w:val="24"/>
                <w:szCs w:val="24"/>
                <w:lang w:val="en-US"/>
              </w:rPr>
            </w:pPr>
            <w:r w:rsidRPr="00161D7E">
              <w:rPr>
                <w:lang w:val="en-US"/>
              </w:rPr>
              <w:t xml:space="preserve">Publicat : 12.03.2010 în Monitorul Oficial Nr. 35     art Nr : 219 </w:t>
            </w:r>
          </w:p>
        </w:tc>
      </w:tr>
      <w:tr w:rsidR="00161D7E" w:rsidTr="00161D7E">
        <w:trPr>
          <w:tblCellSpacing w:w="75" w:type="dxa"/>
        </w:trPr>
        <w:tc>
          <w:tcPr>
            <w:tcW w:w="0" w:type="auto"/>
            <w:gridSpan w:val="2"/>
            <w:vAlign w:val="center"/>
            <w:hideMark/>
          </w:tcPr>
          <w:p w:rsidR="00161D7E" w:rsidRDefault="00161D7E" w:rsidP="00161D7E">
            <w:pPr>
              <w:rPr>
                <w:sz w:val="24"/>
                <w:szCs w:val="24"/>
              </w:rPr>
            </w:pPr>
            <w:r w:rsidRPr="00161D7E">
              <w:rPr>
                <w:lang w:val="en-US"/>
              </w:rPr>
              <w:t xml:space="preserve">    </w:t>
            </w:r>
            <w:r w:rsidRPr="00161D7E">
              <w:rPr>
                <w:rFonts w:ascii="Times New Roman CE" w:hAnsi="Times New Roman CE" w:cs="Times New Roman CE"/>
                <w:i/>
                <w:iCs/>
                <w:color w:val="FF0000"/>
                <w:lang w:val="en-US"/>
              </w:rPr>
              <w:t>MODIFICAT</w:t>
            </w:r>
            <w:r w:rsidRPr="00161D7E">
              <w:rPr>
                <w:rFonts w:ascii="Times New Roman CE" w:hAnsi="Times New Roman CE" w:cs="Times New Roman CE"/>
                <w:i/>
                <w:iCs/>
                <w:color w:val="FF0000"/>
                <w:lang w:val="en-US"/>
              </w:rPr>
              <w:br/>
            </w:r>
            <w:r w:rsidRPr="00161D7E">
              <w:rPr>
                <w:lang w:val="en-US"/>
              </w:rPr>
              <w:t xml:space="preserve">    </w:t>
            </w:r>
            <w:r>
              <w:fldChar w:fldCharType="begin"/>
            </w:r>
            <w:r w:rsidRPr="00161D7E">
              <w:rPr>
                <w:lang w:val="en-US"/>
              </w:rPr>
              <w:instrText xml:space="preserve"> HYPERLINK "http://lex.justice.md/md/343108/" </w:instrText>
            </w:r>
            <w:r>
              <w:fldChar w:fldCharType="separate"/>
            </w:r>
            <w:r w:rsidRPr="00161D7E">
              <w:rPr>
                <w:rStyle w:val="a3"/>
                <w:i/>
                <w:iCs/>
                <w:lang w:val="en-US"/>
              </w:rPr>
              <w:t>HG260 din 25.04.12, MO88-91/11.05.12 art.308</w:t>
            </w:r>
            <w:r>
              <w:fldChar w:fldCharType="end"/>
            </w:r>
            <w:r w:rsidRPr="00161D7E">
              <w:rPr>
                <w:rFonts w:ascii="Times New Roman CE" w:hAnsi="Times New Roman CE" w:cs="Times New Roman CE"/>
                <w:i/>
                <w:iCs/>
                <w:color w:val="FF0000"/>
                <w:lang w:val="en-US"/>
              </w:rPr>
              <w:br/>
              <w:t xml:space="preserve">    </w:t>
            </w:r>
            <w:r>
              <w:fldChar w:fldCharType="begin"/>
            </w:r>
            <w:r w:rsidRPr="00161D7E">
              <w:rPr>
                <w:lang w:val="en-US"/>
              </w:rPr>
              <w:instrText xml:space="preserve"> HYPERLINK "http://lex.justice.md/md/343020/" </w:instrText>
            </w:r>
            <w:r>
              <w:fldChar w:fldCharType="separate"/>
            </w:r>
            <w:r w:rsidRPr="00161D7E">
              <w:rPr>
                <w:rStyle w:val="a3"/>
                <w:i/>
                <w:iCs/>
                <w:lang w:val="en-US"/>
              </w:rPr>
              <w:t>HG260 din 25.04.12, MO82-84/27.04.12 art.291</w:t>
            </w:r>
            <w:r>
              <w:fldChar w:fldCharType="end"/>
            </w:r>
            <w:r w:rsidRPr="00161D7E">
              <w:rPr>
                <w:lang w:val="en-US"/>
              </w:rPr>
              <w:br/>
            </w:r>
            <w:r w:rsidRPr="00161D7E">
              <w:rPr>
                <w:rFonts w:ascii="Times New Roman CE" w:hAnsi="Times New Roman CE" w:cs="Times New Roman CE"/>
                <w:color w:val="FF0000"/>
                <w:lang w:val="en-US"/>
              </w:rPr>
              <w:t xml:space="preserve">    </w:t>
            </w:r>
            <w:r>
              <w:fldChar w:fldCharType="begin"/>
            </w:r>
            <w:r w:rsidRPr="00161D7E">
              <w:rPr>
                <w:lang w:val="en-US"/>
              </w:rPr>
              <w:instrText xml:space="preserve"> HYPERLINK "http://lex.justice.md/md/336950/" </w:instrText>
            </w:r>
            <w:r>
              <w:fldChar w:fldCharType="separate"/>
            </w:r>
            <w:r w:rsidRPr="00161D7E">
              <w:rPr>
                <w:rStyle w:val="docblue"/>
                <w:i/>
                <w:iCs/>
                <w:color w:val="0000FF"/>
                <w:u w:val="single"/>
                <w:lang w:val="en-US"/>
              </w:rPr>
              <w:t>HG1105 din 06.12.10, MO241-246/10.12.10 art.1225</w:t>
            </w:r>
            <w:r>
              <w:fldChar w:fldCharType="end"/>
            </w:r>
            <w:r w:rsidRPr="00161D7E">
              <w:rPr>
                <w:lang w:val="en-US"/>
              </w:rPr>
              <w:br/>
            </w:r>
            <w:r w:rsidRPr="00161D7E">
              <w:rPr>
                <w:lang w:val="en-US"/>
              </w:rPr>
              <w:br/>
              <w:t>    În conformitate cu prevederile Legii salarizării nr.847-XV din 14 februarie 2002 (Monitorul Oficial al Republicii Moldova, 2002, nr.50-52, art.336) şi în baza Convenţiei colective (nivel naţional) nr.9 din 28 ianuarie 2010, Guvernul  HOTĂRĂŞTE:</w:t>
            </w:r>
            <w:r w:rsidRPr="00161D7E">
              <w:rPr>
                <w:lang w:val="en-US"/>
              </w:rPr>
              <w:br/>
              <w:t>    1. Începînd cu 1 mai 2012, cuantumul minim garantat al salariului în sectorul real (la întreprinderi, organizaţii, instituţii cu autonomie financiară, indiferent de tipul de proprietate şi forma de organizare juridică, în continuare – unităţi) se stabileşte în mărime de 7,70 lei pe oră sau 1300 lei pe lună, calculat pentru un program complet de lucru de 169 ore  în medie pe lună.</w:t>
            </w:r>
            <w:r w:rsidRPr="00161D7E">
              <w:rPr>
                <w:lang w:val="en-US"/>
              </w:rPr>
              <w:br/>
              <w:t xml:space="preserve">    </w:t>
            </w:r>
            <w:r w:rsidRPr="00161D7E">
              <w:rPr>
                <w:rStyle w:val="docblue"/>
                <w:i/>
                <w:iCs/>
                <w:lang w:val="en-US"/>
              </w:rPr>
              <w:t>[Pct.1 modificat prin HG260 din 25.04.12, MO88-91/11.05.12 art.308]</w:t>
            </w:r>
            <w:r w:rsidRPr="00161D7E">
              <w:rPr>
                <w:lang w:val="en-US"/>
              </w:rPr>
              <w:br/>
            </w:r>
            <w:r w:rsidRPr="00161D7E">
              <w:rPr>
                <w:rStyle w:val="docblue"/>
                <w:lang w:val="en-US"/>
              </w:rPr>
              <w:t xml:space="preserve">    </w:t>
            </w:r>
            <w:r w:rsidRPr="00161D7E">
              <w:rPr>
                <w:rStyle w:val="docblue"/>
                <w:i/>
                <w:iCs/>
                <w:lang w:val="en-US"/>
              </w:rPr>
              <w:t>[Pct.1 modificat prin HG260 din 25.04.12, MO82-84/27.04.12 art.291]</w:t>
            </w:r>
            <w:r w:rsidRPr="00161D7E">
              <w:rPr>
                <w:i/>
                <w:iCs/>
                <w:lang w:val="en-US"/>
              </w:rPr>
              <w:br/>
            </w:r>
            <w:r w:rsidRPr="00161D7E">
              <w:rPr>
                <w:rStyle w:val="docblue"/>
                <w:i/>
                <w:iCs/>
                <w:lang w:val="en-US"/>
              </w:rPr>
              <w:t>    [Pct.2 exclus prin HG260 din 25.04.12, MO88-91/11.05.12 art.308]</w:t>
            </w:r>
            <w:r w:rsidRPr="00161D7E">
              <w:rPr>
                <w:lang w:val="en-US"/>
              </w:rPr>
              <w:br/>
            </w:r>
            <w:r w:rsidRPr="00161D7E">
              <w:rPr>
                <w:i/>
                <w:iCs/>
                <w:lang w:val="en-US"/>
              </w:rPr>
              <w:t xml:space="preserve">    </w:t>
            </w:r>
            <w:r w:rsidRPr="00161D7E">
              <w:rPr>
                <w:rStyle w:val="docblue"/>
                <w:i/>
                <w:iCs/>
                <w:lang w:val="en-US"/>
              </w:rPr>
              <w:t>[Pct.2 exclus prin HG260 din 25.04.12, MO82-84/27.04.12 art.291]</w:t>
            </w:r>
            <w:r w:rsidRPr="00161D7E">
              <w:rPr>
                <w:i/>
                <w:iCs/>
                <w:lang w:val="en-US"/>
              </w:rPr>
              <w:br/>
              <w:t>   </w:t>
            </w:r>
            <w:r w:rsidRPr="00161D7E">
              <w:rPr>
                <w:lang w:val="en-US"/>
              </w:rPr>
              <w:t xml:space="preserve"> 3. În cazul aplicării de către unităţi a sistemului tarifar de salarizare sau în cazul aplicării sistemului netarifar de salarizare cuantumul lunar total al salariului unui angajat nu poate fi mai mic decît </w:t>
            </w:r>
            <w:r w:rsidRPr="00161D7E">
              <w:rPr>
                <w:lang w:val="en-US"/>
              </w:rPr>
              <w:lastRenderedPageBreak/>
              <w:t>cuantumul minim garantat al salariului în sectorul real, stabilit de Guvern, după consultarea cu partenerii sociali.</w:t>
            </w:r>
            <w:r w:rsidRPr="00161D7E">
              <w:rPr>
                <w:lang w:val="en-US"/>
              </w:rPr>
              <w:br/>
              <w:t xml:space="preserve">    </w:t>
            </w:r>
            <w:r w:rsidRPr="00161D7E">
              <w:rPr>
                <w:rStyle w:val="docblue"/>
                <w:i/>
                <w:iCs/>
                <w:lang w:val="en-US"/>
              </w:rPr>
              <w:t>[Pct.3 în redacţia HG260 din 25.04.12, MO88-91/11.05.12 art.308]</w:t>
            </w:r>
            <w:r w:rsidRPr="00161D7E">
              <w:rPr>
                <w:lang w:val="en-US"/>
              </w:rPr>
              <w:br/>
            </w:r>
            <w:r w:rsidRPr="00161D7E">
              <w:rPr>
                <w:i/>
                <w:iCs/>
                <w:lang w:val="en-US"/>
              </w:rPr>
              <w:t xml:space="preserve">    </w:t>
            </w:r>
            <w:r w:rsidRPr="00161D7E">
              <w:rPr>
                <w:rStyle w:val="docblue"/>
                <w:i/>
                <w:iCs/>
                <w:lang w:val="en-US"/>
              </w:rPr>
              <w:t>[Pct.3 în redacţia HG260 din 25.04.12, MO82-84/27.04.12 art.291]</w:t>
            </w:r>
            <w:r w:rsidRPr="00161D7E">
              <w:rPr>
                <w:i/>
                <w:iCs/>
                <w:lang w:val="en-US"/>
              </w:rPr>
              <w:br/>
            </w:r>
            <w:r w:rsidRPr="00161D7E">
              <w:rPr>
                <w:rStyle w:val="docblue"/>
                <w:i/>
                <w:iCs/>
                <w:lang w:val="en-US"/>
              </w:rPr>
              <w:t>    [Pct.4-5 excluse prin HG260 din 25.04.12, MO88-91/11.05.12 art.308]</w:t>
            </w:r>
            <w:r w:rsidRPr="00161D7E">
              <w:rPr>
                <w:lang w:val="en-US"/>
              </w:rPr>
              <w:br/>
            </w:r>
            <w:r w:rsidRPr="00161D7E">
              <w:rPr>
                <w:i/>
                <w:iCs/>
                <w:lang w:val="en-US"/>
              </w:rPr>
              <w:t xml:space="preserve">    </w:t>
            </w:r>
            <w:r w:rsidRPr="00161D7E">
              <w:rPr>
                <w:rStyle w:val="docblue"/>
                <w:i/>
                <w:iCs/>
                <w:lang w:val="en-US"/>
              </w:rPr>
              <w:t>[Pct.4-5 excluse prin HG260 din 25.04.12, MO82-84/27.04.12 art.291]</w:t>
            </w:r>
            <w:r w:rsidRPr="00161D7E">
              <w:rPr>
                <w:i/>
                <w:iCs/>
                <w:lang w:val="en-US"/>
              </w:rPr>
              <w:br/>
              <w:t>   </w:t>
            </w:r>
            <w:r w:rsidRPr="00161D7E">
              <w:rPr>
                <w:lang w:val="en-US"/>
              </w:rPr>
              <w:t xml:space="preserve"> 6. Odată cu stabilirea cuantumului minim garantat al salariului în sectorul real, salariile de bază stabilite anterior nu pot fi micşorate, decît în conformitate cu prevederile  alineatului (2) articolul 20 al Legii salarizării nr.847-XV din 14 februarie 2002.</w:t>
            </w:r>
            <w:r w:rsidRPr="00161D7E">
              <w:rPr>
                <w:lang w:val="en-US"/>
              </w:rPr>
              <w:br/>
              <w:t>    6</w:t>
            </w:r>
            <w:r w:rsidRPr="00161D7E">
              <w:rPr>
                <w:vertAlign w:val="superscript"/>
                <w:lang w:val="en-US"/>
              </w:rPr>
              <w:t>1</w:t>
            </w:r>
            <w:r w:rsidRPr="00161D7E">
              <w:rPr>
                <w:lang w:val="en-US"/>
              </w:rPr>
              <w:t>. Întreprinderile de stat, întreprinderile cu capital majoritar de stat şi  cele monopoliste, indicate de Guvern, la care cuantumul salariului tarifar pentru categoria I de calificare este mai mare decît cuantumul minim garantat al salariului în sectorul real, prevăzut la punctele 1 şi 4 ale prezentei hotărîri, pot efectua majorarea salariului tarifar pentru categoria I de calificare numai pe măsura creşterii volumului producţiei (lucrări, servicii) în preţuri comparabile faţă de perioada respectivă a anului precedent, cu condiţia sporirii volumului producţiei livrate în preţuri efective, obţinerii beneficiului din vînzarea producţiei şi rentabilităţii producţiei.</w:t>
            </w:r>
            <w:r w:rsidRPr="00161D7E">
              <w:rPr>
                <w:lang w:val="en-US"/>
              </w:rPr>
              <w:br/>
              <w:t>    În cazurile în care creşterea sumară a indicelui preţurilor de consum de la momentul majorării anterioare a salariului tarifar pentru categoria I de calificare depăşeşte rata de creştere a volumului producţiei (lucrărilor, serviciilor) în preţuri comparabile, întreprinderea care dispune de mijloace financiare necesare este în drept să majoreze salariul tarifar pentru categoria I de calificare pe măsura creşterii indicelui preţurilor de consum.</w:t>
            </w:r>
            <w:r w:rsidRPr="00161D7E">
              <w:rPr>
                <w:i/>
                <w:iCs/>
                <w:lang w:val="en-US"/>
              </w:rPr>
              <w:br/>
              <w:t xml:space="preserve">    </w:t>
            </w:r>
            <w:r w:rsidRPr="00161D7E">
              <w:rPr>
                <w:rStyle w:val="docblue"/>
                <w:rFonts w:ascii="Times New Roman CE" w:hAnsi="Times New Roman CE" w:cs="Times New Roman CE"/>
                <w:i/>
                <w:iCs/>
                <w:color w:val="000000"/>
                <w:lang w:val="en-US"/>
              </w:rPr>
              <w:t>[Pct.6</w:t>
            </w:r>
            <w:r w:rsidRPr="00161D7E">
              <w:rPr>
                <w:rStyle w:val="docblue"/>
                <w:rFonts w:ascii="Times New Roman CE" w:hAnsi="Times New Roman CE" w:cs="Times New Roman CE"/>
                <w:i/>
                <w:iCs/>
                <w:color w:val="000000"/>
                <w:vertAlign w:val="superscript"/>
                <w:lang w:val="en-US"/>
              </w:rPr>
              <w:t>1</w:t>
            </w:r>
            <w:r w:rsidRPr="00161D7E">
              <w:rPr>
                <w:rStyle w:val="docblue"/>
                <w:rFonts w:ascii="Times New Roman CE" w:hAnsi="Times New Roman CE" w:cs="Times New Roman CE"/>
                <w:i/>
                <w:iCs/>
                <w:color w:val="000000"/>
                <w:lang w:val="en-US"/>
              </w:rPr>
              <w:t xml:space="preserve"> introdus  prin HG1105 din 06.12.10, MO241-246/10.12.10 art.1225]</w:t>
            </w:r>
            <w:r w:rsidRPr="00161D7E">
              <w:rPr>
                <w:i/>
                <w:iCs/>
                <w:lang w:val="en-US"/>
              </w:rPr>
              <w:br/>
              <w:t>  </w:t>
            </w:r>
            <w:r w:rsidRPr="00161D7E">
              <w:rPr>
                <w:lang w:val="en-US"/>
              </w:rPr>
              <w:t>  7. Se abrogă punctele 1 şi 2 ale Hotărîrii Guvernului nr.152 din 19 februarie 2004 „Cu privire la salariul tarifar pentru categoria I de calificare a angajaţilor din unităţile cu autonomie financiară şi cuantumul sporului de compensare pentru munca prestată în condiţii nefavorabile” (Monitorul Oficial al Republicii Moldova, 2004, nr.39-41, art.299), cu modificările ulterioare.</w:t>
            </w:r>
            <w:r w:rsidRPr="00161D7E">
              <w:rPr>
                <w:lang w:val="en-US"/>
              </w:rPr>
              <w:br/>
            </w:r>
            <w:r w:rsidRPr="00161D7E">
              <w:rPr>
                <w:lang w:val="en-US"/>
              </w:rPr>
              <w:br/>
              <w:t>   </w:t>
            </w:r>
            <w:r w:rsidRPr="00161D7E">
              <w:rPr>
                <w:rStyle w:val="docsign1"/>
                <w:lang w:val="en-US"/>
              </w:rPr>
              <w:t xml:space="preserve"> PRIM-MINISTRU                                          Vladimir FILAT</w:t>
            </w:r>
            <w:r w:rsidRPr="00161D7E">
              <w:rPr>
                <w:lang w:val="en-US"/>
              </w:rPr>
              <w:br/>
            </w:r>
            <w:r w:rsidRPr="00161D7E">
              <w:rPr>
                <w:lang w:val="en-US"/>
              </w:rPr>
              <w:br/>
            </w:r>
            <w:r w:rsidRPr="00161D7E">
              <w:rPr>
                <w:rStyle w:val="docsign1"/>
                <w:lang w:val="en-US"/>
              </w:rPr>
              <w:t>    Contrasemnează:</w:t>
            </w:r>
            <w:r w:rsidRPr="00161D7E">
              <w:rPr>
                <w:lang w:val="en-US"/>
              </w:rPr>
              <w:br/>
            </w:r>
            <w:r w:rsidRPr="00161D7E">
              <w:rPr>
                <w:rStyle w:val="docsign1"/>
                <w:lang w:val="en-US"/>
              </w:rPr>
              <w:t>    Viceprim-ministru,</w:t>
            </w:r>
            <w:r w:rsidRPr="00161D7E">
              <w:rPr>
                <w:lang w:val="en-US"/>
              </w:rPr>
              <w:br/>
            </w:r>
            <w:r w:rsidRPr="00161D7E">
              <w:rPr>
                <w:rStyle w:val="docsign1"/>
                <w:lang w:val="en-US"/>
              </w:rPr>
              <w:t>    ministrul economiei                                          Valeriu Lazar</w:t>
            </w:r>
            <w:r w:rsidRPr="00161D7E">
              <w:rPr>
                <w:lang w:val="en-US"/>
              </w:rPr>
              <w:br/>
            </w:r>
            <w:r w:rsidRPr="00161D7E">
              <w:rPr>
                <w:rStyle w:val="docsign1"/>
                <w:lang w:val="en-US"/>
              </w:rPr>
              <w:t xml:space="preserve">    Ministrul muncii, protecţiei </w:t>
            </w:r>
            <w:r w:rsidRPr="00161D7E">
              <w:rPr>
                <w:lang w:val="en-US"/>
              </w:rPr>
              <w:br/>
            </w:r>
            <w:r w:rsidRPr="00161D7E">
              <w:rPr>
                <w:rStyle w:val="docsign1"/>
                <w:lang w:val="en-US"/>
              </w:rPr>
              <w:t>    sociale şi familiei                                               Valentina Buliga</w:t>
            </w:r>
            <w:r w:rsidRPr="00161D7E">
              <w:rPr>
                <w:lang w:val="en-US"/>
              </w:rPr>
              <w:br/>
            </w:r>
            <w:r w:rsidRPr="00161D7E">
              <w:rPr>
                <w:lang w:val="en-US"/>
              </w:rPr>
              <w:br/>
            </w:r>
            <w:r w:rsidRPr="00161D7E">
              <w:rPr>
                <w:rStyle w:val="docsign1"/>
                <w:lang w:val="en-US"/>
              </w:rPr>
              <w:t xml:space="preserve">    Nr. 165. </w:t>
            </w:r>
            <w:proofErr w:type="spellStart"/>
            <w:r>
              <w:rPr>
                <w:rStyle w:val="docsign1"/>
              </w:rPr>
              <w:t>Chişinău</w:t>
            </w:r>
            <w:proofErr w:type="spellEnd"/>
            <w:r>
              <w:rPr>
                <w:rStyle w:val="docsign1"/>
              </w:rPr>
              <w:t xml:space="preserve">, 9 </w:t>
            </w:r>
            <w:proofErr w:type="spellStart"/>
            <w:r>
              <w:rPr>
                <w:rStyle w:val="docsign1"/>
              </w:rPr>
              <w:t>martie</w:t>
            </w:r>
            <w:proofErr w:type="spellEnd"/>
            <w:r>
              <w:rPr>
                <w:rStyle w:val="docsign1"/>
              </w:rPr>
              <w:t xml:space="preserve"> 2010.</w:t>
            </w:r>
          </w:p>
        </w:tc>
      </w:tr>
    </w:tbl>
    <w:p w:rsidR="00161D7E" w:rsidRDefault="00161D7E" w:rsidP="00161D7E">
      <w:pPr>
        <w:rPr>
          <w:lang w:val="en-US"/>
        </w:rPr>
      </w:pPr>
    </w:p>
    <w:p w:rsidR="00161D7E" w:rsidRDefault="00161D7E" w:rsidP="00161D7E">
      <w:pPr>
        <w:rPr>
          <w:lang w:val="en-US"/>
        </w:rPr>
      </w:pPr>
    </w:p>
    <w:p w:rsidR="00161D7E" w:rsidRDefault="00161D7E">
      <w:pPr>
        <w:rPr>
          <w:lang w:val="en-US"/>
        </w:rPr>
      </w:pPr>
    </w:p>
    <w:p w:rsidR="00161D7E" w:rsidRDefault="00161D7E">
      <w:pPr>
        <w:rPr>
          <w:lang w:val="en-US"/>
        </w:rPr>
      </w:pPr>
    </w:p>
    <w:p w:rsidR="00161D7E" w:rsidRPr="00161D7E" w:rsidRDefault="00161D7E">
      <w:pPr>
        <w:rPr>
          <w:lang w:val="en-US"/>
        </w:rPr>
      </w:pPr>
    </w:p>
    <w:tbl>
      <w:tblPr>
        <w:tblW w:w="5000" w:type="pct"/>
        <w:tblCellSpacing w:w="75" w:type="dxa"/>
        <w:tblCellMar>
          <w:top w:w="150" w:type="dxa"/>
          <w:left w:w="150" w:type="dxa"/>
          <w:bottom w:w="150" w:type="dxa"/>
          <w:right w:w="150" w:type="dxa"/>
        </w:tblCellMar>
        <w:tblLook w:val="04A0"/>
      </w:tblPr>
      <w:tblGrid>
        <w:gridCol w:w="5522"/>
        <w:gridCol w:w="4433"/>
      </w:tblGrid>
      <w:tr w:rsidR="00FF42CC" w:rsidTr="00FF42CC">
        <w:trPr>
          <w:tblCellSpacing w:w="75" w:type="dxa"/>
        </w:trPr>
        <w:tc>
          <w:tcPr>
            <w:tcW w:w="0" w:type="auto"/>
            <w:vAlign w:val="center"/>
            <w:hideMark/>
          </w:tcPr>
          <w:p w:rsidR="00FF42CC" w:rsidRPr="00FF42CC" w:rsidRDefault="00FF42CC">
            <w:pPr>
              <w:rPr>
                <w:sz w:val="24"/>
                <w:szCs w:val="24"/>
                <w:lang w:val="en-US"/>
              </w:rPr>
            </w:pPr>
            <w:r w:rsidRPr="00FF42CC">
              <w:rPr>
                <w:lang w:val="en-US"/>
              </w:rPr>
              <w:lastRenderedPageBreak/>
              <w:t>HGM165/2010</w:t>
            </w:r>
            <w:r w:rsidRPr="00FF42CC">
              <w:rPr>
                <w:lang w:val="en-US"/>
              </w:rPr>
              <w:br/>
            </w:r>
            <w:r>
              <w:t>Внутренний</w:t>
            </w:r>
            <w:r w:rsidRPr="00FF42CC">
              <w:rPr>
                <w:lang w:val="en-US"/>
              </w:rPr>
              <w:t xml:space="preserve"> </w:t>
            </w:r>
            <w:r>
              <w:t>номер</w:t>
            </w:r>
            <w:r w:rsidRPr="00FF42CC">
              <w:rPr>
                <w:lang w:val="en-US"/>
              </w:rPr>
              <w:t xml:space="preserve">:  333943 </w:t>
            </w:r>
            <w:r w:rsidRPr="00FF42CC">
              <w:rPr>
                <w:lang w:val="en-US"/>
              </w:rPr>
              <w:br/>
            </w:r>
            <w:hyperlink r:id="rId7" w:history="1">
              <w:proofErr w:type="spellStart"/>
              <w:r w:rsidRPr="00FF42CC">
                <w:rPr>
                  <w:rStyle w:val="a3"/>
                  <w:lang w:val="en-US"/>
                </w:rPr>
                <w:t>Varianta</w:t>
              </w:r>
              <w:proofErr w:type="spellEnd"/>
              <w:r w:rsidRPr="00FF42CC">
                <w:rPr>
                  <w:rStyle w:val="a3"/>
                  <w:lang w:val="en-US"/>
                </w:rPr>
                <w:t xml:space="preserve"> </w:t>
              </w:r>
              <w:proofErr w:type="spellStart"/>
              <w:r w:rsidRPr="00FF42CC">
                <w:rPr>
                  <w:rStyle w:val="a3"/>
                  <w:lang w:val="en-US"/>
                </w:rPr>
                <w:t>în</w:t>
              </w:r>
              <w:proofErr w:type="spellEnd"/>
              <w:r w:rsidRPr="00FF42CC">
                <w:rPr>
                  <w:rStyle w:val="a3"/>
                  <w:lang w:val="en-US"/>
                </w:rPr>
                <w:t xml:space="preserve"> </w:t>
              </w:r>
              <w:proofErr w:type="spellStart"/>
              <w:r w:rsidRPr="00FF42CC">
                <w:rPr>
                  <w:rStyle w:val="a3"/>
                  <w:lang w:val="en-US"/>
                </w:rPr>
                <w:t>limba</w:t>
              </w:r>
              <w:proofErr w:type="spellEnd"/>
              <w:r w:rsidRPr="00FF42CC">
                <w:rPr>
                  <w:rStyle w:val="a3"/>
                  <w:lang w:val="en-US"/>
                </w:rPr>
                <w:t xml:space="preserve"> de stat</w:t>
              </w:r>
            </w:hyperlink>
            <w:r w:rsidRPr="00FF42CC">
              <w:rPr>
                <w:lang w:val="en-US"/>
              </w:rPr>
              <w:t xml:space="preserve"> </w:t>
            </w:r>
          </w:p>
        </w:tc>
        <w:tc>
          <w:tcPr>
            <w:tcW w:w="0" w:type="auto"/>
            <w:vAlign w:val="center"/>
            <w:hideMark/>
          </w:tcPr>
          <w:p w:rsidR="00FF42CC" w:rsidRDefault="007C3EB1">
            <w:pPr>
              <w:jc w:val="right"/>
              <w:rPr>
                <w:sz w:val="24"/>
                <w:szCs w:val="24"/>
              </w:rPr>
            </w:pPr>
            <w:hyperlink r:id="rId8" w:tgtFrame="_blank" w:history="1">
              <w:r w:rsidR="00FF42CC">
                <w:rPr>
                  <w:rStyle w:val="a3"/>
                </w:rPr>
                <w:t>Оригинальная версия</w:t>
              </w:r>
            </w:hyperlink>
            <w:r w:rsidR="00FF42CC">
              <w:br/>
            </w:r>
            <w:hyperlink r:id="rId9" w:history="1">
              <w:r w:rsidR="00FF42CC">
                <w:rPr>
                  <w:rStyle w:val="a3"/>
                </w:rPr>
                <w:t>Карточка документа</w:t>
              </w:r>
            </w:hyperlink>
            <w:r w:rsidR="00FF42CC">
              <w:t xml:space="preserve"> </w:t>
            </w:r>
          </w:p>
        </w:tc>
      </w:tr>
      <w:tr w:rsidR="00FF42CC" w:rsidTr="00FF42CC">
        <w:trPr>
          <w:tblCellSpacing w:w="75" w:type="dxa"/>
        </w:trPr>
        <w:tc>
          <w:tcPr>
            <w:tcW w:w="0" w:type="auto"/>
            <w:gridSpan w:val="2"/>
            <w:vAlign w:val="center"/>
            <w:hideMark/>
          </w:tcPr>
          <w:p w:rsidR="00FF42CC" w:rsidRDefault="00FF42CC">
            <w:pPr>
              <w:jc w:val="center"/>
              <w:rPr>
                <w:sz w:val="24"/>
                <w:szCs w:val="24"/>
              </w:rPr>
            </w:pPr>
            <w:r>
              <w:rPr>
                <w:noProof/>
              </w:rPr>
              <w:drawing>
                <wp:inline distT="0" distB="0" distL="0" distR="0">
                  <wp:extent cx="495300" cy="590550"/>
                  <wp:effectExtent l="19050" t="0" r="0" b="0"/>
                  <wp:docPr id="2"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br/>
            </w:r>
            <w:r>
              <w:rPr>
                <w:rStyle w:val="a4"/>
              </w:rPr>
              <w:t>Республика Молдова</w:t>
            </w:r>
          </w:p>
        </w:tc>
      </w:tr>
      <w:tr w:rsidR="00FF42CC" w:rsidTr="00FF42CC">
        <w:trPr>
          <w:tblCellSpacing w:w="75" w:type="dxa"/>
        </w:trPr>
        <w:tc>
          <w:tcPr>
            <w:tcW w:w="0" w:type="auto"/>
            <w:gridSpan w:val="2"/>
            <w:vAlign w:val="center"/>
            <w:hideMark/>
          </w:tcPr>
          <w:p w:rsidR="00FF42CC" w:rsidRDefault="00FF42CC">
            <w:pPr>
              <w:jc w:val="center"/>
              <w:rPr>
                <w:sz w:val="24"/>
                <w:szCs w:val="24"/>
              </w:rPr>
            </w:pPr>
            <w:r>
              <w:rPr>
                <w:rStyle w:val="a4"/>
              </w:rPr>
              <w:t>ПРАВИТЕЛЬСТВО</w:t>
            </w:r>
          </w:p>
        </w:tc>
      </w:tr>
      <w:tr w:rsidR="00FF42CC" w:rsidTr="00FF42CC">
        <w:trPr>
          <w:tblCellSpacing w:w="75" w:type="dxa"/>
        </w:trPr>
        <w:tc>
          <w:tcPr>
            <w:tcW w:w="0" w:type="auto"/>
            <w:gridSpan w:val="2"/>
            <w:vAlign w:val="center"/>
            <w:hideMark/>
          </w:tcPr>
          <w:p w:rsidR="00FF42CC" w:rsidRDefault="00FF42CC">
            <w:pPr>
              <w:jc w:val="center"/>
              <w:rPr>
                <w:sz w:val="24"/>
                <w:szCs w:val="24"/>
              </w:rPr>
            </w:pPr>
            <w:r>
              <w:rPr>
                <w:rStyle w:val="a4"/>
              </w:rPr>
              <w:t>ПОСТАНОВЛЕНИЕ</w:t>
            </w:r>
            <w:r>
              <w:t xml:space="preserve"> </w:t>
            </w:r>
            <w:proofErr w:type="spellStart"/>
            <w:r>
              <w:t>Nr</w:t>
            </w:r>
            <w:proofErr w:type="spellEnd"/>
            <w:r>
              <w:t xml:space="preserve">. 165 </w:t>
            </w:r>
            <w:r>
              <w:br/>
              <w:t xml:space="preserve">от  09.03.2010 </w:t>
            </w:r>
          </w:p>
        </w:tc>
      </w:tr>
      <w:tr w:rsidR="00FF42CC" w:rsidTr="00FF42CC">
        <w:trPr>
          <w:tblCellSpacing w:w="75" w:type="dxa"/>
        </w:trPr>
        <w:tc>
          <w:tcPr>
            <w:tcW w:w="0" w:type="auto"/>
            <w:gridSpan w:val="2"/>
            <w:vAlign w:val="center"/>
            <w:hideMark/>
          </w:tcPr>
          <w:p w:rsidR="00FF42CC" w:rsidRDefault="00FF42CC">
            <w:pPr>
              <w:spacing w:after="240"/>
              <w:jc w:val="center"/>
              <w:rPr>
                <w:b/>
                <w:bCs/>
                <w:sz w:val="24"/>
                <w:szCs w:val="24"/>
              </w:rPr>
            </w:pPr>
            <w:r>
              <w:rPr>
                <w:rStyle w:val="docheader"/>
                <w:b/>
                <w:bCs/>
              </w:rPr>
              <w:t>о гарантированном минимальном размере</w:t>
            </w:r>
            <w:r>
              <w:rPr>
                <w:b/>
                <w:bCs/>
              </w:rPr>
              <w:br/>
            </w:r>
            <w:r>
              <w:rPr>
                <w:rStyle w:val="docheader"/>
                <w:b/>
                <w:bCs/>
              </w:rPr>
              <w:t>заработной платы в реальном секторе</w:t>
            </w:r>
          </w:p>
        </w:tc>
      </w:tr>
      <w:tr w:rsidR="00FF42CC" w:rsidTr="00FF42CC">
        <w:trPr>
          <w:tblCellSpacing w:w="75" w:type="dxa"/>
        </w:trPr>
        <w:tc>
          <w:tcPr>
            <w:tcW w:w="0" w:type="auto"/>
            <w:gridSpan w:val="2"/>
            <w:vAlign w:val="center"/>
            <w:hideMark/>
          </w:tcPr>
          <w:p w:rsidR="00FF42CC" w:rsidRDefault="00FF42CC" w:rsidP="00C04D3A">
            <w:pPr>
              <w:rPr>
                <w:sz w:val="24"/>
                <w:szCs w:val="24"/>
              </w:rPr>
            </w:pPr>
            <w:r>
              <w:t>Опубликован</w:t>
            </w:r>
            <w:proofErr w:type="gramStart"/>
            <w:r>
              <w:t xml:space="preserve"> :</w:t>
            </w:r>
            <w:proofErr w:type="gramEnd"/>
            <w:r>
              <w:t xml:space="preserve"> 12.03.2010 в </w:t>
            </w:r>
            <w:proofErr w:type="spellStart"/>
            <w:r>
              <w:t>Monitorul</w:t>
            </w:r>
            <w:proofErr w:type="spellEnd"/>
            <w:r>
              <w:t xml:space="preserve"> </w:t>
            </w:r>
            <w:proofErr w:type="spellStart"/>
            <w:r>
              <w:t>Oficial</w:t>
            </w:r>
            <w:proofErr w:type="spellEnd"/>
            <w:r>
              <w:t xml:space="preserve"> </w:t>
            </w:r>
            <w:proofErr w:type="spellStart"/>
            <w:r>
              <w:t>Nr</w:t>
            </w:r>
            <w:proofErr w:type="spellEnd"/>
            <w:r>
              <w:t xml:space="preserve">. 35     статья № : 219 </w:t>
            </w:r>
          </w:p>
        </w:tc>
      </w:tr>
      <w:tr w:rsidR="00FF42CC" w:rsidTr="00FF42CC">
        <w:trPr>
          <w:tblCellSpacing w:w="75" w:type="dxa"/>
        </w:trPr>
        <w:tc>
          <w:tcPr>
            <w:tcW w:w="0" w:type="auto"/>
            <w:gridSpan w:val="2"/>
            <w:vAlign w:val="center"/>
            <w:hideMark/>
          </w:tcPr>
          <w:p w:rsidR="00FF42CC" w:rsidRDefault="00FF42CC" w:rsidP="00C04D3A">
            <w:pPr>
              <w:rPr>
                <w:sz w:val="24"/>
                <w:szCs w:val="24"/>
              </w:rPr>
            </w:pPr>
            <w:r>
              <w:rPr>
                <w:i/>
                <w:iCs/>
              </w:rPr>
              <w:t xml:space="preserve">    </w:t>
            </w:r>
            <w:r>
              <w:rPr>
                <w:rFonts w:ascii="Times New Roman CE" w:hAnsi="Times New Roman CE" w:cs="Times New Roman CE"/>
                <w:i/>
                <w:iCs/>
                <w:color w:val="FF0000"/>
              </w:rPr>
              <w:t>ИЗМЕНЕНО</w:t>
            </w:r>
            <w:r>
              <w:rPr>
                <w:rFonts w:ascii="Times New Roman CE" w:hAnsi="Times New Roman CE" w:cs="Times New Roman CE"/>
                <w:i/>
                <w:iCs/>
                <w:color w:val="FF0000"/>
              </w:rPr>
              <w:br/>
              <w:t xml:space="preserve">    </w:t>
            </w:r>
            <w:hyperlink r:id="rId10" w:history="1">
              <w:r>
                <w:rPr>
                  <w:rStyle w:val="docblue"/>
                  <w:i/>
                  <w:iCs/>
                  <w:color w:val="0000FF"/>
                  <w:u w:val="single"/>
                </w:rPr>
                <w:t>ПП260 от 25.04.2012, МО88-91/11.05.2012 ст.308</w:t>
              </w:r>
            </w:hyperlink>
            <w:r>
              <w:br/>
            </w:r>
            <w:r>
              <w:rPr>
                <w:rFonts w:ascii="Times New Roman CE" w:hAnsi="Times New Roman CE" w:cs="Times New Roman CE"/>
                <w:i/>
                <w:iCs/>
                <w:color w:val="FF0000"/>
              </w:rPr>
              <w:t xml:space="preserve">    </w:t>
            </w:r>
            <w:hyperlink r:id="rId11" w:history="1">
              <w:r>
                <w:rPr>
                  <w:rStyle w:val="docblue"/>
                  <w:i/>
                  <w:iCs/>
                  <w:color w:val="0000FF"/>
                  <w:u w:val="single"/>
                </w:rPr>
                <w:t>ПП260 от 25.04.2012, МО82-84/27.04.2012 ст.291</w:t>
              </w:r>
            </w:hyperlink>
            <w:r>
              <w:rPr>
                <w:i/>
                <w:iCs/>
              </w:rPr>
              <w:br/>
              <w:t xml:space="preserve">    </w:t>
            </w:r>
            <w:hyperlink r:id="rId12" w:history="1">
              <w:r>
                <w:rPr>
                  <w:rStyle w:val="a3"/>
                  <w:i/>
                  <w:iCs/>
                </w:rPr>
                <w:t>ПП1105 от 06.12.2010, МО241-246/10.12.2010 ст.1225</w:t>
              </w:r>
              <w:proofErr w:type="gramStart"/>
            </w:hyperlink>
            <w:r>
              <w:br/>
            </w:r>
            <w:r>
              <w:br/>
              <w:t>    В</w:t>
            </w:r>
            <w:proofErr w:type="gramEnd"/>
            <w:r>
              <w:t xml:space="preserve"> соответствии с положениями Закона об оплате труда № 847-XV от 14 февраля 2002 г. (Официальный монитор Республики Молдова, 2002 г., № 50-52, ст.336) и на основе Коллективного соглашения (национальный уровень) № 9 от 28 января 2010 г. Правительство ПОСТАНОВЛЯЕТ:</w:t>
            </w:r>
            <w:r>
              <w:br/>
              <w:t>    1. Начиная с 1 мая 2012 г. гарантированный минимальный размер заработной платы в реальном секторе (на хозрасчетных предприятиях, организациях, учреждениях независимо от их вида собственности и организационно-правовой формы, в дальнейшем – предприятия) составит 7,70 лея в час, или 1300 леев в месяц, исчисленный из средней продолжительности рабочего времени 169 часов в месяц.</w:t>
            </w:r>
            <w:r>
              <w:br/>
              <w:t> </w:t>
            </w:r>
            <w:r>
              <w:rPr>
                <w:i/>
                <w:iCs/>
              </w:rPr>
              <w:t xml:space="preserve">   </w:t>
            </w:r>
            <w:r>
              <w:rPr>
                <w:rStyle w:val="docblue"/>
                <w:i/>
                <w:iCs/>
              </w:rPr>
              <w:t>[Пкт.1 изменен ПП260 от 25.04.2012, МО88-91/11.05.2012 ст.308]</w:t>
            </w:r>
            <w:r>
              <w:br/>
              <w:t> </w:t>
            </w:r>
            <w:r>
              <w:rPr>
                <w:i/>
                <w:iCs/>
              </w:rPr>
              <w:t xml:space="preserve">   </w:t>
            </w:r>
            <w:r>
              <w:rPr>
                <w:rStyle w:val="docblue"/>
                <w:i/>
                <w:iCs/>
              </w:rPr>
              <w:t>[Пкт.1 изменен ПП260 от 25.04.2012, МО82-84/27.04.2012 ст.291]</w:t>
            </w:r>
            <w:r>
              <w:rPr>
                <w:i/>
                <w:iCs/>
              </w:rPr>
              <w:br/>
            </w:r>
            <w:r>
              <w:t> </w:t>
            </w:r>
            <w:r>
              <w:rPr>
                <w:i/>
                <w:iCs/>
              </w:rPr>
              <w:t xml:space="preserve">   </w:t>
            </w:r>
            <w:r>
              <w:rPr>
                <w:rStyle w:val="docblue"/>
                <w:i/>
                <w:iCs/>
              </w:rPr>
              <w:t>[Пкт.2 исключен ПП260 от 25.04.2012, МО88-91/11.05.2012 ст.308]</w:t>
            </w:r>
            <w:r>
              <w:br/>
              <w:t> </w:t>
            </w:r>
            <w:r>
              <w:rPr>
                <w:i/>
                <w:iCs/>
              </w:rPr>
              <w:t xml:space="preserve">   </w:t>
            </w:r>
            <w:r>
              <w:rPr>
                <w:rStyle w:val="docblue"/>
                <w:i/>
                <w:iCs/>
              </w:rPr>
              <w:t>[Пкт.2 исключен ПП260 от 25.04.2012, МО82-84/27.04.2012 ст.291]</w:t>
            </w:r>
            <w:r>
              <w:br/>
              <w:t xml:space="preserve">    3. В случае применения предприятиями тарифной системы оплаты труда или в случае применения бестарифной системы оплаты труда совокупный месячный </w:t>
            </w:r>
            <w:proofErr w:type="gramStart"/>
            <w:r>
              <w:t>размер оплаты труда</w:t>
            </w:r>
            <w:proofErr w:type="gramEnd"/>
            <w:r>
              <w:t xml:space="preserve"> </w:t>
            </w:r>
            <w:r>
              <w:lastRenderedPageBreak/>
              <w:t>одного работника не может быть ниже гарантированного минимального размера заработной платы в реальном секторе, установленного Правительством после консультаций с социальными партнерами.</w:t>
            </w:r>
            <w:r>
              <w:br/>
              <w:t> </w:t>
            </w:r>
            <w:r>
              <w:rPr>
                <w:i/>
                <w:iCs/>
              </w:rPr>
              <w:t xml:space="preserve">   </w:t>
            </w:r>
            <w:r>
              <w:rPr>
                <w:rStyle w:val="docblue"/>
                <w:i/>
                <w:iCs/>
              </w:rPr>
              <w:t>[Пкт.3 в редакции ПП260 от 25.04.2012, МО88-91/11.05.2012 ст.308]</w:t>
            </w:r>
            <w:r>
              <w:br/>
              <w:t> </w:t>
            </w:r>
            <w:r>
              <w:rPr>
                <w:i/>
                <w:iCs/>
              </w:rPr>
              <w:t xml:space="preserve">   </w:t>
            </w:r>
            <w:r>
              <w:rPr>
                <w:rStyle w:val="docblue"/>
                <w:i/>
                <w:iCs/>
              </w:rPr>
              <w:t>[Пкт.3 в редакции ПП260 от 25.04.2012, МО82-84/27.04.2012 ст.291]</w:t>
            </w:r>
            <w:r>
              <w:rPr>
                <w:i/>
                <w:iCs/>
              </w:rPr>
              <w:br/>
            </w:r>
            <w:r>
              <w:t> </w:t>
            </w:r>
            <w:r>
              <w:rPr>
                <w:i/>
                <w:iCs/>
              </w:rPr>
              <w:t xml:space="preserve">   </w:t>
            </w:r>
            <w:r>
              <w:rPr>
                <w:rStyle w:val="docblue"/>
                <w:i/>
                <w:iCs/>
              </w:rPr>
              <w:t>[Пкт.4-5 исключены ПП260 от 25.04.2012, МО88-91/11.05.2012 ст.308]</w:t>
            </w:r>
            <w:r>
              <w:br/>
              <w:t> </w:t>
            </w:r>
            <w:r>
              <w:rPr>
                <w:i/>
                <w:iCs/>
              </w:rPr>
              <w:t xml:space="preserve">   </w:t>
            </w:r>
            <w:r>
              <w:rPr>
                <w:rStyle w:val="docblue"/>
                <w:i/>
                <w:iCs/>
              </w:rPr>
              <w:t>[Пкт.4-5 исключены ПП260 от 25.04.2012, МО82-84/27.04.2012 ст.291]</w:t>
            </w:r>
            <w:r>
              <w:br/>
              <w:t xml:space="preserve">    6. Одновременно с установлением гарантированного минимального размера заработной </w:t>
            </w:r>
            <w:proofErr w:type="gramStart"/>
            <w:r>
              <w:t>платы</w:t>
            </w:r>
            <w:proofErr w:type="gramEnd"/>
            <w:r>
              <w:t xml:space="preserve"> в реальном секторе ранее установленная основная заработная плата не может быть уменьшена, кроме как в соответствии с частью (2) статьи 20 Закона об оплате труда № 847-XV от 14 февраля 2002 г.</w:t>
            </w:r>
            <w:r>
              <w:br/>
              <w:t>    6</w:t>
            </w:r>
            <w:r>
              <w:rPr>
                <w:vertAlign w:val="superscript"/>
              </w:rPr>
              <w:t>1</w:t>
            </w:r>
            <w:r>
              <w:t xml:space="preserve">. </w:t>
            </w:r>
            <w:proofErr w:type="gramStart"/>
            <w:r>
              <w:t>Государственные предприятия, предприятия с преобладающим государственным капиталом и монопольные предприятия, определенные Правительством, на которых размер тарифной ставки I квалификационного разряда превышает гарантированный минимальный размер заработной платы в реальном секторе, предусмотренный в пунктах 1 и 4 настоящего Постановления, дальнейшее повышение тарифной ставки I квалификационного разряда осуществляют только в прямой зависимости от роста объемов производства (работ, услуг) в сопоставимых ценах к соответствующему</w:t>
            </w:r>
            <w:proofErr w:type="gramEnd"/>
            <w:r>
              <w:t xml:space="preserve"> периоду предыдущего года при условии роста объема реализованной продукции в действующих ценах, наличия прибыли от ее реализации и рентабельности производства продукции.</w:t>
            </w:r>
            <w:r>
              <w:br/>
              <w:t>    В случаях, когда суммарный рост индекса потребительских цен с момента предыдущего повышения тарифной ставки I квалификационного разряда превышает прирост объема производства (работ, услуг) в сопоставимых ценах, предприятие, располагающее необходимыми финансовыми средствами, вправе повысить тарифную ставку I квалификационного разряда по мере роста индекса потребительских цен.</w:t>
            </w:r>
            <w:r>
              <w:br/>
            </w:r>
            <w:r>
              <w:rPr>
                <w:rStyle w:val="docblue"/>
                <w:i/>
                <w:iCs/>
              </w:rPr>
              <w:t>    [Пкт.6</w:t>
            </w:r>
            <w:r>
              <w:rPr>
                <w:rStyle w:val="docblue"/>
                <w:i/>
                <w:iCs/>
                <w:vertAlign w:val="superscript"/>
              </w:rPr>
              <w:t>1</w:t>
            </w:r>
            <w:r>
              <w:rPr>
                <w:rStyle w:val="docblue"/>
                <w:i/>
                <w:iCs/>
              </w:rPr>
              <w:t xml:space="preserve"> введен ПП1105 от 06.12.2010, МО241-246/10.12.2010 ст.1225]</w:t>
            </w:r>
            <w:r>
              <w:br/>
              <w:t>    7. Признать утратившими силу пункты 1 и 2 Постановления Правительства №152 от 19 февраля 2004 г. «О тарифной ставке для I квалификационного разряда работников хозрасчетных предприятий и размере компенсационных доплат за работу в неблагоприятных условиях» (Официальный монитор Республики Молдова, 2004 г., № 39-41, ст. 299), с последующими изменениями.</w:t>
            </w:r>
            <w:r>
              <w:br/>
            </w:r>
            <w:r>
              <w:br/>
              <w:t xml:space="preserve">    </w:t>
            </w:r>
            <w:r>
              <w:rPr>
                <w:rStyle w:val="docsign1"/>
              </w:rPr>
              <w:t>Премьер-министр                                                             Владимир ФИЛАТ</w:t>
            </w:r>
            <w:proofErr w:type="gramStart"/>
            <w:r>
              <w:br/>
            </w:r>
            <w:r>
              <w:br/>
            </w:r>
            <w:r>
              <w:rPr>
                <w:rStyle w:val="docsign1"/>
              </w:rPr>
              <w:t>    К</w:t>
            </w:r>
            <w:proofErr w:type="gramEnd"/>
            <w:r>
              <w:rPr>
                <w:rStyle w:val="docsign1"/>
              </w:rPr>
              <w:t>онтрассигнуют:</w:t>
            </w:r>
            <w:r>
              <w:br/>
            </w:r>
            <w:r>
              <w:rPr>
                <w:rStyle w:val="docsign1"/>
              </w:rPr>
              <w:t>    зам. премьер-министра,</w:t>
            </w:r>
            <w:r>
              <w:br/>
            </w:r>
            <w:r>
              <w:rPr>
                <w:rStyle w:val="docsign1"/>
              </w:rPr>
              <w:t xml:space="preserve">    министр экономики                                                         </w:t>
            </w:r>
            <w:proofErr w:type="spellStart"/>
            <w:r>
              <w:rPr>
                <w:rStyle w:val="docsign1"/>
              </w:rPr>
              <w:t>Валериу</w:t>
            </w:r>
            <w:proofErr w:type="spellEnd"/>
            <w:r>
              <w:rPr>
                <w:rStyle w:val="docsign1"/>
              </w:rPr>
              <w:t xml:space="preserve"> ЛАЗАР </w:t>
            </w:r>
            <w:r>
              <w:br/>
            </w:r>
            <w:r>
              <w:rPr>
                <w:rStyle w:val="docsign1"/>
              </w:rPr>
              <w:t>    министр труда, социальной</w:t>
            </w:r>
            <w:r>
              <w:br/>
            </w:r>
            <w:r>
              <w:rPr>
                <w:rStyle w:val="docsign1"/>
              </w:rPr>
              <w:t xml:space="preserve">    защиты и семьи                                                                Валентина </w:t>
            </w:r>
            <w:proofErr w:type="spellStart"/>
            <w:r>
              <w:rPr>
                <w:rStyle w:val="docsign1"/>
              </w:rPr>
              <w:t>Булига</w:t>
            </w:r>
            <w:proofErr w:type="spellEnd"/>
            <w:r>
              <w:rPr>
                <w:rStyle w:val="docsign1"/>
              </w:rPr>
              <w:t xml:space="preserve"> </w:t>
            </w:r>
            <w:r>
              <w:br/>
            </w:r>
            <w:r>
              <w:br/>
            </w:r>
            <w:r>
              <w:rPr>
                <w:rStyle w:val="docsign1"/>
              </w:rPr>
              <w:t xml:space="preserve">    № 165. </w:t>
            </w:r>
            <w:proofErr w:type="spellStart"/>
            <w:r>
              <w:rPr>
                <w:rStyle w:val="docsign1"/>
              </w:rPr>
              <w:t>Кишинэу</w:t>
            </w:r>
            <w:proofErr w:type="spellEnd"/>
            <w:r>
              <w:rPr>
                <w:rStyle w:val="docsign1"/>
              </w:rPr>
              <w:t>, 9 марта 2010 г.</w:t>
            </w:r>
          </w:p>
        </w:tc>
      </w:tr>
    </w:tbl>
    <w:p w:rsidR="00501E52" w:rsidRPr="00FF42CC" w:rsidRDefault="00501E52" w:rsidP="00FF42CC"/>
    <w:sectPr w:rsidR="00501E52" w:rsidRPr="00FF42CC" w:rsidSect="00410E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E">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929DB"/>
    <w:rsid w:val="00161D7E"/>
    <w:rsid w:val="002929DB"/>
    <w:rsid w:val="003F69A7"/>
    <w:rsid w:val="00410E06"/>
    <w:rsid w:val="00501E52"/>
    <w:rsid w:val="007C3EB1"/>
    <w:rsid w:val="00C04D3A"/>
    <w:rsid w:val="00FF42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E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929DB"/>
    <w:rPr>
      <w:color w:val="0000FF"/>
      <w:u w:val="single"/>
    </w:rPr>
  </w:style>
  <w:style w:type="character" w:styleId="a4">
    <w:name w:val="Strong"/>
    <w:basedOn w:val="a0"/>
    <w:uiPriority w:val="22"/>
    <w:qFormat/>
    <w:rsid w:val="002929DB"/>
    <w:rPr>
      <w:b/>
      <w:bCs/>
    </w:rPr>
  </w:style>
  <w:style w:type="character" w:customStyle="1" w:styleId="docheader">
    <w:name w:val="doc_header"/>
    <w:basedOn w:val="a0"/>
    <w:rsid w:val="002929DB"/>
  </w:style>
  <w:style w:type="character" w:customStyle="1" w:styleId="docblue">
    <w:name w:val="doc_blue"/>
    <w:basedOn w:val="a0"/>
    <w:rsid w:val="002929DB"/>
  </w:style>
  <w:style w:type="character" w:customStyle="1" w:styleId="docsign1">
    <w:name w:val="doc_sign1"/>
    <w:basedOn w:val="a0"/>
    <w:rsid w:val="002929DB"/>
  </w:style>
  <w:style w:type="paragraph" w:styleId="a5">
    <w:name w:val="Balloon Text"/>
    <w:basedOn w:val="a"/>
    <w:link w:val="a6"/>
    <w:uiPriority w:val="99"/>
    <w:semiHidden/>
    <w:unhideWhenUsed/>
    <w:rsid w:val="002929D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929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568815">
      <w:bodyDiv w:val="1"/>
      <w:marLeft w:val="0"/>
      <w:marRight w:val="0"/>
      <w:marTop w:val="0"/>
      <w:marBottom w:val="0"/>
      <w:divBdr>
        <w:top w:val="none" w:sz="0" w:space="0" w:color="auto"/>
        <w:left w:val="none" w:sz="0" w:space="0" w:color="auto"/>
        <w:bottom w:val="none" w:sz="0" w:space="0" w:color="auto"/>
        <w:right w:val="none" w:sz="0" w:space="0" w:color="auto"/>
      </w:divBdr>
    </w:div>
    <w:div w:id="458034911">
      <w:bodyDiv w:val="1"/>
      <w:marLeft w:val="0"/>
      <w:marRight w:val="0"/>
      <w:marTop w:val="0"/>
      <w:marBottom w:val="0"/>
      <w:divBdr>
        <w:top w:val="none" w:sz="0" w:space="0" w:color="auto"/>
        <w:left w:val="none" w:sz="0" w:space="0" w:color="auto"/>
        <w:bottom w:val="none" w:sz="0" w:space="0" w:color="auto"/>
        <w:right w:val="none" w:sz="0" w:space="0" w:color="auto"/>
      </w:divBdr>
    </w:div>
    <w:div w:id="1404569461">
      <w:bodyDiv w:val="1"/>
      <w:marLeft w:val="0"/>
      <w:marRight w:val="0"/>
      <w:marTop w:val="0"/>
      <w:marBottom w:val="0"/>
      <w:divBdr>
        <w:top w:val="none" w:sz="0" w:space="0" w:color="auto"/>
        <w:left w:val="none" w:sz="0" w:space="0" w:color="auto"/>
        <w:bottom w:val="none" w:sz="0" w:space="0" w:color="auto"/>
        <w:right w:val="none" w:sz="0" w:space="0" w:color="auto"/>
      </w:divBdr>
    </w:div>
    <w:div w:id="179289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justice.md/viewdoc.php?action=view&amp;view=doc&amp;id=336982&amp;lang=2"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lex.justice.md/viewdoc.php?action=view&amp;view=doc&amp;id=333943&amp;lang=1" TargetMode="External"/><Relationship Id="rId12" Type="http://schemas.openxmlformats.org/officeDocument/2006/relationships/hyperlink" Target="http://lex.justice.md/ru/33695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lex.justice.md/ru/343020/" TargetMode="External"/><Relationship Id="rId5" Type="http://schemas.openxmlformats.org/officeDocument/2006/relationships/hyperlink" Target="http://lex.justice.md/viewdoc.php?action=view&amp;view=doc&amp;id=333943&amp;lang=1" TargetMode="External"/><Relationship Id="rId10" Type="http://schemas.openxmlformats.org/officeDocument/2006/relationships/hyperlink" Target="http://lex.justice.md/ru/343108/" TargetMode="External"/><Relationship Id="rId4" Type="http://schemas.openxmlformats.org/officeDocument/2006/relationships/hyperlink" Target="http://lex.justice.md/viewdoc.php?action=view&amp;view=doc&amp;id=333943&amp;lang=2" TargetMode="External"/><Relationship Id="rId9" Type="http://schemas.openxmlformats.org/officeDocument/2006/relationships/hyperlink" Target="http://lex.justice.md/index.php?action=view&amp;view=doc&amp;lang=2&amp;id=33394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1372</Words>
  <Characters>7826</Characters>
  <Application>Microsoft Office Word</Application>
  <DocSecurity>0</DocSecurity>
  <Lines>65</Lines>
  <Paragraphs>18</Paragraphs>
  <ScaleCrop>false</ScaleCrop>
  <Company>AMAC</Company>
  <LinksUpToDate>false</LinksUpToDate>
  <CharactersWithSpaces>9180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10</cp:revision>
  <dcterms:created xsi:type="dcterms:W3CDTF">2012-03-15T12:44:00Z</dcterms:created>
  <dcterms:modified xsi:type="dcterms:W3CDTF">2012-06-21T08:38:00Z</dcterms:modified>
</cp:coreProperties>
</file>