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871"/>
        <w:gridCol w:w="4084"/>
      </w:tblGrid>
      <w:tr w:rsidR="00E47E31" w:rsidRPr="00E47E31" w:rsidTr="00E47E31">
        <w:trPr>
          <w:tblCellSpacing w:w="75" w:type="dxa"/>
        </w:trPr>
        <w:tc>
          <w:tcPr>
            <w:tcW w:w="0" w:type="auto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>HGM484/1998</w:t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ID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>intern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>unic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 296375 </w:t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E47E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Версия на русском</w:t>
              </w:r>
            </w:hyperlink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E47E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Fişa</w:t>
              </w:r>
              <w:proofErr w:type="spellEnd"/>
              <w:r w:rsidRPr="00E47E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7E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actului</w:t>
              </w:r>
              <w:proofErr w:type="spellEnd"/>
              <w:r w:rsidRPr="00E47E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7E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juridic</w:t>
              </w:r>
              <w:proofErr w:type="spellEnd"/>
            </w:hyperlink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7E31" w:rsidRPr="00E47E31" w:rsidTr="00E47E31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Republica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Moldova</w:t>
            </w:r>
            <w:proofErr w:type="spellEnd"/>
          </w:p>
        </w:tc>
      </w:tr>
      <w:tr w:rsidR="00E47E31" w:rsidRPr="00E47E31" w:rsidTr="00E47E31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GUVERNUL</w:t>
            </w:r>
          </w:p>
        </w:tc>
      </w:tr>
      <w:tr w:rsidR="00E47E31" w:rsidRPr="00E47E31" w:rsidTr="00E47E31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HOTĂRÎRE</w:t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484 </w:t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04.05.1998 </w:t>
            </w:r>
          </w:p>
        </w:tc>
      </w:tr>
      <w:tr w:rsidR="00E47E31" w:rsidRPr="00E47E31" w:rsidTr="00E47E31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cu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privire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limitele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cheltuielilor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agenţilor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economici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persoanelor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fizice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practică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activitatea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permise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ca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deduceri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cheltuieli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aferente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activităţiide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pentru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scopuri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fiscale</w:t>
            </w:r>
            <w:proofErr w:type="spellEnd"/>
          </w:p>
        </w:tc>
      </w:tr>
      <w:tr w:rsidR="00E47E31" w:rsidRPr="00E47E31" w:rsidTr="00E47E31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Publicat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 09.07.1998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62-65     art Nr : 595 </w:t>
            </w:r>
          </w:p>
        </w:tc>
      </w:tr>
      <w:tr w:rsidR="00E47E31" w:rsidRPr="00E47E31" w:rsidTr="00E47E31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br/>
              <w:t>    MODIFICAT</w:t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t xml:space="preserve">    </w:t>
            </w:r>
            <w:hyperlink r:id="rId7" w:history="1">
              <w:r w:rsidRPr="00E47E31">
                <w:rPr>
                  <w:rFonts w:ascii="Times New Roman CE" w:eastAsia="Times New Roman" w:hAnsi="Times New Roman CE" w:cs="Times New Roman CE"/>
                  <w:i/>
                  <w:iCs/>
                  <w:color w:val="000000"/>
                  <w:sz w:val="24"/>
                  <w:szCs w:val="24"/>
                  <w:u w:val="single"/>
                  <w:lang w:val="en-US"/>
                </w:rPr>
                <w:t>HG680 din 30.07.10, MO138-140/06.08.10 art.763</w:t>
              </w:r>
            </w:hyperlink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sz w:val="24"/>
                <w:szCs w:val="24"/>
                <w:lang w:val="en-US"/>
              </w:rPr>
              <w:t xml:space="preserve">    </w:t>
            </w:r>
            <w:hyperlink r:id="rId8" w:history="1">
              <w:r w:rsidRPr="00E47E31">
                <w:rPr>
                  <w:rFonts w:ascii="Times New Roman CE" w:eastAsia="Times New Roman" w:hAnsi="Times New Roman CE" w:cs="Times New Roman CE"/>
                  <w:i/>
                  <w:iCs/>
                  <w:color w:val="0000FF"/>
                  <w:sz w:val="24"/>
                  <w:szCs w:val="24"/>
                  <w:u w:val="single"/>
                  <w:lang w:val="en-US"/>
                </w:rPr>
                <w:t>HG998 din 04.09.07, MO146-148/14.09.07 art.1039</w:t>
              </w:r>
            </w:hyperlink>
            <w:r w:rsidRPr="00E47E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br/>
              <w:t xml:space="preserve">   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Рисунок 2" descr="http://lex.justice.md/images/link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x.justice.md/images/link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HG319 din 23.03.05, MO51-54/01.04.05 art.368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  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Рисунок 3" descr="http://lex.justice.md/images/link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ex.justice.md/images/link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HG263 din 09.03.05, MO42-45/21.03.05 art.308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   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Рисунок 4" descr="http://lex.justice.md/images/link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ex.justice.md/images/link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HG1046 din 03.10.01, MO121/05.10.01 art.1095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 xml:space="preserve">    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NOTĂ:</w:t>
            </w:r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titlu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cuvintele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juridice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se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introduc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cuvintele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fizice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practică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activitatea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 xml:space="preserve"> 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HG319 din 23.03.05, MO51-54/01.04.05 art.368</w:t>
            </w:r>
          </w:p>
          <w:p w:rsidR="00E47E31" w:rsidRPr="00E47E31" w:rsidRDefault="00E47E31" w:rsidP="00E47E3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denumire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textul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hotărîrii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cuvintele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juridice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se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substituie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cuvintele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agenţilor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economici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HG263 din 09.03.05, MO42-45/21.03.05 art.308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îndeplinirea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articolului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24 </w:t>
            </w:r>
            <w:proofErr w:type="spellStart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alineatul</w:t>
            </w:r>
            <w:proofErr w:type="spellEnd"/>
            <w:r w:rsidRPr="00E47E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(3)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Titlul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II al  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Codului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fiscal nr.1163-XIII din 24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aprilie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1997,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Moldova HOTĂRĂŞT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[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Preambulul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modificat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HG680 din 30.07.10, MO138-140/06.08.10 art.763]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1. Se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permite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deducerea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primelor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plătite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baza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contractelor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încheiate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corespundere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prevederile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legislaţiei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vigoare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către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agenţii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economici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după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caz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fizice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înregistrate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calitate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venitul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provenit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activitatea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următoarele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clase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cadrul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: 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obligatorii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anume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: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auto,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rezultă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folosirea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autovehiculelor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inclusiv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transportatorilor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avia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transportatorilor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lastRenderedPageBreak/>
              <w:t xml:space="preserve">c)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maritimă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lacustră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fluvială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transportatorilor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feroviară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transportatorilor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e) </w:t>
            </w:r>
            <w:proofErr w:type="spellStart"/>
            <w:proofErr w:type="gram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</w:t>
            </w:r>
            <w:proofErr w:type="spellEnd"/>
            <w:proofErr w:type="gram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clase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este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prevăzută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încheierea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contractelor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obligatorie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facultative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anume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: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accidente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inclusiv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accidentele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muncă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bolile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profesionale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sănătate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contractate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favoarea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angajaţilor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);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viaţă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anuităţi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contractate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favoarea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angajaţilor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);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vehicule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terestre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decît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feroviare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survenite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vehiculele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terestre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motor;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e)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vehicule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ferată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survenite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vehiculele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ferată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care se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deplasează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transportă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mărfuri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f)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nave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aeriene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survenite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navele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aeriene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g)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nave maritime,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lacustre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fluviale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survenite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acestea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h)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bunuri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tranzit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suferite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mărfuri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bagaje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bunuri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transportate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incendiu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calamităţi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naturale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suferite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proprietăţi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bunuri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aflate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proprietatea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cauzate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incendiu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explozie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furtună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energie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nucleară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alunecări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teren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fenomene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naturale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afară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furtună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j)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bunuri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suferite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proprietăţi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bunuri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aflate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proprietatea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cazul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aceste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sînt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cauzate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grindină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îngheţ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furt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k)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generală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prejudiciul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produs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terţilor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urma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exploatării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obiectelor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industriale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periculoase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l)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generală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contractate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baza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Convenţiei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CMR din 19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mai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1956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Convenţiei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TIR din 14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noiembrie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1975, la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este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parte din 26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mai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1993;</w:t>
            </w:r>
          </w:p>
          <w:p w:rsidR="00E47E31" w:rsidRPr="00E47E31" w:rsidRDefault="00E47E31" w:rsidP="00E4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m) </w:t>
            </w:r>
            <w:proofErr w:type="spellStart"/>
            <w:proofErr w:type="gram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</w:t>
            </w:r>
            <w:proofErr w:type="spellEnd"/>
            <w:proofErr w:type="gram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răspundere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civilă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generală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acoperă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daunele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prejudiciul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produs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terţilor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utilizarea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exploatarea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navelor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aeriene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vehiculelor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ferată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 xml:space="preserve">    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[Pct.1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redacţia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HG998 din 04.09.07, MO146-148/14.09.07 art.1039]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[Pct.1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modificat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HG319 din 23.03.05, MO51-54/01.04.05 art.368]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[Pct.2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exclus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HG998 din 04.09.07, MO146-148/14.09.07 art.1039]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[Pct.2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redacţia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HG319 din 23.03.05, MO51-54/01.04.05 art.368]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[Pct.3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exclus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HG680 din 30.07.10, MO138-140/06.08.10 art.763]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[Pct.3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redacţia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HG998 din 04.09.07, MO146-148/14.09.07 art.1039]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[Pct.3 al.2)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introdus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HG319 din 23.03.05, MO51-54/01.04.05 art.368]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  <w:t xml:space="preserve">    [Pct.3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introdus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 1046 din 03.10.2001 MO121-123 din 05.10.2001]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 xml:space="preserve">     4.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cazul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indicate la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lit.h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– l)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subpct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2) pct. 1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mărimea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totală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defalcărilor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permise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deduceri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cheltuieli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aferente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activităţii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scopuri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fiscale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nu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poate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depăşi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3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trei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procente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suma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venitului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brut,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obţinut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toate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sursele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inclusiv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activitatea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operaţională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investiţii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financiară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 xml:space="preserve">    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[Pct.4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introdus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HG998 din 04.09.07, MO146-148/14.09.07 art.1039]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 xml:space="preserve">    5.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contractarea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asigurărilor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subvenţionate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către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stat,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mărimea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defalcărilor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permise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deduceri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cheltuieli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aferente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activităţii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întreprinzător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scopuri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fiscale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poate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depăşi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cota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primă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urmează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plătită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către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asigurat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întreprinderea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agricolă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producătorul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agricol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etc.)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conformitate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legile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speciale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respective.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 xml:space="preserve">    </w:t>
            </w:r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[Pct.5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introdus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prin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HG998 din 04.09.07, MO146-148/14.09.07 art.1039]</w:t>
            </w:r>
          </w:p>
          <w:p w:rsidR="00E47E31" w:rsidRDefault="00E47E31" w:rsidP="00E47E31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>    PRIM-MINISTRU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>    AL REPUBLICII MOLDOVA                              Ion CIUBUC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lastRenderedPageBreak/>
              <w:t xml:space="preserve">   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Chişinău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4 </w:t>
            </w:r>
            <w:proofErr w:type="spellStart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mai</w:t>
            </w:r>
            <w:proofErr w:type="spellEnd"/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1998.</w:t>
            </w:r>
            <w:r w:rsidRPr="00E47E31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>    Nr. 484.</w:t>
            </w:r>
          </w:p>
          <w:p w:rsidR="00E47E31" w:rsidRDefault="00E47E31" w:rsidP="00E47E31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E47E31" w:rsidRDefault="00E47E31" w:rsidP="00E47E31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E47E31" w:rsidRDefault="00E47E31" w:rsidP="00E47E31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5000" w:type="pct"/>
              <w:tblCellSpacing w:w="75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5355"/>
              <w:gridCol w:w="4000"/>
            </w:tblGrid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HGM484/1998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br/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Внутренний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:  296375 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br/>
                  </w:r>
                  <w:hyperlink r:id="rId13" w:history="1">
                    <w:r w:rsidRPr="00E47E31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Varianta în limba de stat</w:t>
                    </w:r>
                  </w:hyperlink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" w:history="1">
                    <w:r w:rsidRPr="00E47E31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Карточка документа</w:t>
                    </w:r>
                  </w:hyperlink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95300" cy="590550"/>
                        <wp:effectExtent l="19050" t="0" r="0" b="0"/>
                        <wp:docPr id="9" name="Рисунок 9" descr="http://lex.justice.md/imgcms/stateemble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lex.justice.md/imgcms/stateemble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Республика Молдова</w:t>
                  </w:r>
                </w:p>
              </w:tc>
            </w:tr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ПРАВИТЕЛЬСТВО</w:t>
                  </w:r>
                </w:p>
              </w:tc>
            </w:tr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ПОСТАНОВЛЕНИЕ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Nr</w:t>
                  </w:r>
                  <w:proofErr w:type="spell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484 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от  04.05.1998 </w:t>
                  </w:r>
                </w:p>
              </w:tc>
            </w:tr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о расходах по страхованию экономических агентов и физических лиц, которые </w:t>
                  </w: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 xml:space="preserve">занимаются предпринимательской деятельностью, разрешенных для </w:t>
                  </w: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 xml:space="preserve">вычета из доходов </w:t>
                  </w:r>
                  <w:proofErr w:type="spellStart"/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отпредпринимательской</w:t>
                  </w:r>
                  <w:proofErr w:type="spellEnd"/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деятельности, </w:t>
                  </w:r>
                  <w:r w:rsidRPr="00E47E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в целях налогообложения</w:t>
                  </w:r>
                </w:p>
              </w:tc>
            </w:tr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Опубликован</w:t>
                  </w:r>
                  <w:proofErr w:type="gram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09.07.1998 в </w:t>
                  </w:r>
                  <w:proofErr w:type="spell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Monitorul</w:t>
                  </w:r>
                  <w:proofErr w:type="spell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Oficial</w:t>
                  </w:r>
                  <w:proofErr w:type="spell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Nr</w:t>
                  </w:r>
                  <w:proofErr w:type="spell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62-65     статья № : 595 </w:t>
                  </w:r>
                </w:p>
              </w:tc>
            </w:tr>
            <w:tr w:rsidR="00E47E31" w:rsidRPr="00E47E31" w:rsidTr="00E47E31">
              <w:trPr>
                <w:tblCellSpacing w:w="7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FF0000"/>
                      <w:sz w:val="24"/>
                      <w:szCs w:val="24"/>
                    </w:rPr>
                    <w:t>ИЗМЕНЕНО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FF0000"/>
                      <w:sz w:val="24"/>
                      <w:szCs w:val="24"/>
                    </w:rPr>
                    <w:br/>
                    <w:t xml:space="preserve">           </w:t>
                  </w:r>
                  <w:hyperlink r:id="rId15" w:history="1">
                    <w:r w:rsidRPr="00E47E31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ПП680 от 30.07.2010, МО138-140/06.08.2010 ст.763</w:t>
                    </w:r>
                  </w:hyperlink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           </w:t>
                  </w:r>
                  <w:hyperlink r:id="rId16" w:history="1">
                    <w:r w:rsidRPr="00E47E31">
                      <w:rPr>
                        <w:rFonts w:ascii="Times New Roman CE" w:eastAsia="Times New Roman" w:hAnsi="Times New Roman CE" w:cs="Times New Roman CE"/>
                        <w:color w:val="0000FF"/>
                        <w:sz w:val="24"/>
                        <w:szCs w:val="24"/>
                        <w:u w:val="single"/>
                      </w:rPr>
                      <w:t>ПП998 от 04.09.07, МО146-148/14.09.07 ст.1039</w:t>
                    </w:r>
                  </w:hyperlink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     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0" name="Рисунок 10" descr="http://lex.justice.md/images/link.jpg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lex.justice.md/images/link.jpg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ПП319 от 23.03.05, МО51-54/01.04.05 ст.368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1" name="Рисунок 11" descr="http://lex.justice.md/images/link.jpg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lex.justice.md/images/link.jpg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ПП263 от 09.03.05, МО42-45/21.03.05 ст.308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2" name="Рисунок 12" descr="http://lex.justice.md/images/link.jpg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lex.justice.md/images/link.jpg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 xml:space="preserve">ПП1046 от 03.10.2001, MO121/05.10.2001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c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. 1095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Примечание: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Примечание: в названии и по тексту постановления слова "юридических лиц" заменить словами "экономических агентов", согласно ПП263 от 09.03.05, МО42-45/21.03.05 ст.308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[Название изменено ПП319 от 23.03.05, МО51-54/01.04.05 ст.368]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 исполнение статьи 24 части (3) раздела II Налогового кодекса № 1163-XIII от 24 апреля 1997 г</w:t>
                  </w:r>
                  <w:proofErr w:type="gram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.П</w:t>
                  </w:r>
                  <w:proofErr w:type="gram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равительство Республики Молдова ПОСТАНОВЛЯЕТ:</w:t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 [Вступительная часть изменена ПП680 от 30.07.2010, МО138-140/06.08.2010 ст.763]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lastRenderedPageBreak/>
                    <w:t xml:space="preserve">1.1. </w:t>
                  </w:r>
                  <w:proofErr w:type="gram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Разрешить вычет страховых премий, уплаченных на основании договоров страхования, заключенных в соответствии с положениями действующего законода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softHyphen/>
                    <w:t>тельства экономическими агентами и, по необходимости, физическими лицами, зарегистри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softHyphen/>
                    <w:t>рованными в качестве предпринимателей, из дохода, полученного от предпринимательской деятельности, по следующим видам страхования в рамках: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>    1) обязательного страхования, а именно: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автогражданской ответственности, которое покрывает ущерб, причиненный в результате использования автотранспортного средства, включая ответственность перевозчиков</w:t>
                  </w:r>
                  <w:proofErr w:type="gram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proofErr w:type="gram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b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 xml:space="preserve">) страхование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авиагражданской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 xml:space="preserve"> ответственности, которое покрывает ответственность перевозчиков;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c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гражданской ответственности на море, озере, реке, которое покрывает ответственность перевозчиков;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d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гражданской ответственности на железной дороге, которое покрывает ответственность перевозчиков;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e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другие классы страхования, для которых предусмотрено заключение обязательных договоров страхования;</w:t>
                  </w:r>
                  <w:proofErr w:type="gram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gram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2) добровольного страхования, а именно: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от несчастных случаев, в том числе от несчастных случаев на производстве и профессиональных заболеваний;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b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здоровья (заключенное в пользу сотрудников предприятия);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c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жизни и аннуитеты (заключенное в пользу сотрудников предприятия);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d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средств наземного транспорта (кроме железнодорожного), которое покрывает ущерб, причиненный средству наземного транспорта с мотором;</w:t>
                  </w:r>
                  <w:proofErr w:type="gram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proofErr w:type="gram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e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средств железнодорожного транспорта, которое покрывает ущерб, причиненный средству железнодорожного транспорта, который находится в движении либо перевозит груз или пассажиров.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f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средств воздушного транспорта, которое покрывает ущерб, причиненный средству воздушного транспорта;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g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морского, озерного и речного транспорта, которое покрывает причиненный им ущерб;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h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перевозимого имущества, которое покрывает ущерб, причиненный грузам, багажу и другому перевозимому имуществу;</w:t>
                  </w:r>
                  <w:proofErr w:type="gram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 </w:t>
                  </w:r>
                  <w:proofErr w:type="spellStart"/>
                  <w:proofErr w:type="gram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от пожара и других стихийных бедствий, которое покрывает ущерб, причиненный собственности и имуществу (находящемуся в собственности предприятия) пожаром, взрывом, бурей, ядерной энергией, оползнем, другими стихийными явлениями, кроме бури;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j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имущества, которое покрывает ущерб, причиненный собственности и имуществу (находящемуся в собственности предприятия), когда данный ущерб нанесен градом, заморозками или кражей;</w:t>
                  </w:r>
                  <w:proofErr w:type="gram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k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общей гражданской ответственности, которое покрывает ущерб от вреда, причиненного третьим лицам в результате эксплуатации опасных промышленных объектов;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proofErr w:type="gram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l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страхование общей гражданской ответственности, заключенное на основании Конвенции CMR от 19 мая 1956 г. и Конвенции TIR от 14 ноября 1975 г., стороной которых Республика Молдова является с 26 мая 1993 г.;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m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 xml:space="preserve">) иное страхование общей гражданской ответственности, которое покрывает 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lastRenderedPageBreak/>
                    <w:t>ущерб от вреда, причиненного третьим лицам при использовании и эксплуатации средств воздушного транспорта и средств железнодорожного транспорта.</w:t>
                  </w:r>
                  <w:proofErr w:type="gram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   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[Пкт.1 в редакции ПП998 от 04.09.07, МО146-148/14.09.07 ст.1039]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   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 xml:space="preserve">[Пкт.1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абз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. изменен ПП319 от 3.03.05, МО51-54/01.04.05 ст.368]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 xml:space="preserve">[Пкт.1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абз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. изменен ПП319 от 23.03.05, МО51-54/01.04.05 ст.368]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[Пкт.1 подпкт.2) изменен ПЛ19 от 23.03.05, МО51-54/01.04.05 ст.368]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[Пкт.1 подпкт.2) изменен ПП319 от 23.03.05, МО51-54/01.04.05 ст.368]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      [Пкт.1 подпкт.2) изменен ПК63 от 09.03.05, МО42-45/21.03.05 ст.308]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[Пкт.1 подпкт.2) изменен ПП263 от 09.03.05, МО42-45/21.03.05 ст.308]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   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[Пкт.2 исключен ПП998 от 04.09.07, МО146-148/14.09.07 ст.1039]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 xml:space="preserve">      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[Пкт.2 в редакции ПП319 от 23.0305, МО51-54/01.04.05 ст.368]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FF"/>
                      <w:sz w:val="24"/>
                      <w:szCs w:val="24"/>
                    </w:rPr>
                    <w:t>[Пкт.2 в редакции ПП319 от 23.03.05, МО51-54/01.04.05 ст.368]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</w: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 [Пкт.3 утратил силу ПП680 от 30.07.2010, МО138-140/06.08.2010 ст.763]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 xml:space="preserve">      [Пкт.3 в редакции ПП998 от 04.09.07, МО146-148/14.09.07 ст.1039] 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      [Пкт.3 изменен ПП319 от 23.03.05, М\xd51-54/01.04.05 ст.368]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[Пкт.3 изменен ПП319 от 23.03.05, МО51-54/01.04.05 ст.368]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[Пкт.3. в редакции ПП1046/03.10.01, MO121/05.10.01 </w:t>
                  </w:r>
                  <w:proofErr w:type="spellStart"/>
                  <w:proofErr w:type="gramStart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</w:t>
                  </w:r>
                  <w:proofErr w:type="gram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  <w:proofErr w:type="spellEnd"/>
                  <w:r w:rsidRPr="00E47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1095]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 xml:space="preserve">     4. В случае видов страхования, указанных в литерах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h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)-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l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) подпункта 2) пункта 1, суммарная величина отчислений, разрешенных для вычета как расходы от предпринимательской деятельности в целях налогообложения, не может превышать 3 (трех) процентов суммы валового дохода, полученного из всех источников, в том числе от операционной, инвести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softHyphen/>
                    <w:t>ционной и финансовой деятельности.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>    [Пкт.4 введен ПП998 от 04.09.07, МО146-148/14.09.07 ст.1039]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  <w:t>   5. Для заключения видов страхования, субсидируемых государством, величина отчислений, разрешенных для вычета как расходы от предпринимательской деятельности в целях налогообложения, не может превышать долю страховой премии, которая подлежит к уплате страхователем (сельскохозяйственное предприятие, сельскохозяйственный производитель) согласно соответствующим специальным законам.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[Пкт.5 введен ПП998 от 04.09.07, МО146-148/14.09.07 ст.1039] 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         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   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    ПРЕМЬЕР-МИНИСТР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    РЕСПУБЛИКИ МОЛДОВА                                  Ион ЧУБУК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 xml:space="preserve">    </w:t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br/>
                  </w: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lastRenderedPageBreak/>
                    <w:t xml:space="preserve">          </w:t>
                  </w:r>
                  <w:proofErr w:type="spellStart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Кишинэу</w:t>
                  </w:r>
                  <w:proofErr w:type="spellEnd"/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, 4 мая 1998 г.</w:t>
                  </w:r>
                </w:p>
                <w:p w:rsidR="00E47E31" w:rsidRPr="00E47E31" w:rsidRDefault="00E47E31" w:rsidP="00E47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7E31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</w:rPr>
                    <w:t>    № 484.</w:t>
                  </w:r>
                </w:p>
              </w:tc>
            </w:tr>
          </w:tbl>
          <w:p w:rsidR="00E47E31" w:rsidRPr="00E47E31" w:rsidRDefault="00E47E31" w:rsidP="00E47E31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1163D" w:rsidRPr="00E47E31" w:rsidRDefault="0081163D" w:rsidP="00E47E31">
      <w:pPr>
        <w:rPr>
          <w:lang w:val="en-US"/>
        </w:rPr>
      </w:pPr>
    </w:p>
    <w:sectPr w:rsidR="0081163D" w:rsidRPr="00E4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E"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E31"/>
    <w:rsid w:val="0081163D"/>
    <w:rsid w:val="00E4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E31"/>
    <w:rPr>
      <w:color w:val="0000FF"/>
      <w:u w:val="single"/>
    </w:rPr>
  </w:style>
  <w:style w:type="character" w:styleId="a4">
    <w:name w:val="Strong"/>
    <w:basedOn w:val="a0"/>
    <w:uiPriority w:val="22"/>
    <w:qFormat/>
    <w:rsid w:val="00E47E31"/>
    <w:rPr>
      <w:b/>
      <w:bCs/>
    </w:rPr>
  </w:style>
  <w:style w:type="character" w:customStyle="1" w:styleId="docheader">
    <w:name w:val="doc_header"/>
    <w:basedOn w:val="a0"/>
    <w:rsid w:val="00E47E31"/>
  </w:style>
  <w:style w:type="character" w:customStyle="1" w:styleId="docbody">
    <w:name w:val="doc_body"/>
    <w:basedOn w:val="a0"/>
    <w:rsid w:val="00E47E31"/>
  </w:style>
  <w:style w:type="character" w:customStyle="1" w:styleId="docblue">
    <w:name w:val="doc_blue"/>
    <w:basedOn w:val="a0"/>
    <w:rsid w:val="00E47E31"/>
  </w:style>
  <w:style w:type="paragraph" w:styleId="a5">
    <w:name w:val="Balloon Text"/>
    <w:basedOn w:val="a"/>
    <w:link w:val="a6"/>
    <w:uiPriority w:val="99"/>
    <w:semiHidden/>
    <w:unhideWhenUsed/>
    <w:rsid w:val="00E4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E31"/>
    <w:rPr>
      <w:rFonts w:ascii="Tahoma" w:hAnsi="Tahoma" w:cs="Tahoma"/>
      <w:sz w:val="16"/>
      <w:szCs w:val="16"/>
    </w:rPr>
  </w:style>
  <w:style w:type="character" w:customStyle="1" w:styleId="docred">
    <w:name w:val="doc_red"/>
    <w:basedOn w:val="a0"/>
    <w:rsid w:val="00E47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0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1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53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44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19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/%20325240/" TargetMode="External"/><Relationship Id="rId13" Type="http://schemas.openxmlformats.org/officeDocument/2006/relationships/hyperlink" Target="http://lex.justice.md/viewdoc.php?action=view&amp;view=doc&amp;id=296375&amp;lang=1" TargetMode="External"/><Relationship Id="rId18" Type="http://schemas.openxmlformats.org/officeDocument/2006/relationships/hyperlink" Target="http://lex.justice.md/document_rus.php?id=8B078E71:CC2377E4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lex.justice.md/md/335558/" TargetMode="External"/><Relationship Id="rId12" Type="http://schemas.openxmlformats.org/officeDocument/2006/relationships/hyperlink" Target="http://lex.justice.md/document_rom.php?id=ACDDA27D:64E7CA24" TargetMode="External"/><Relationship Id="rId17" Type="http://schemas.openxmlformats.org/officeDocument/2006/relationships/hyperlink" Target="http://lex.justice.md/document_rus.php?id=ACFDA6F2:6F16487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/325240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lex.justice.md/document_rom.php?id=F6A26597:6D650BA5" TargetMode="External"/><Relationship Id="rId5" Type="http://schemas.openxmlformats.org/officeDocument/2006/relationships/hyperlink" Target="http://lex.justice.md/viewdoc.php?action=view&amp;view=doc&amp;id=296375&amp;lang=1" TargetMode="External"/><Relationship Id="rId15" Type="http://schemas.openxmlformats.org/officeDocument/2006/relationships/hyperlink" Target="http://lex.justice.md/ru/335558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lex.justice.md/document_rus.php?id=8A27E840:59FF0288" TargetMode="External"/><Relationship Id="rId4" Type="http://schemas.openxmlformats.org/officeDocument/2006/relationships/hyperlink" Target="http://lex.justice.md/viewdoc.php?action=view&amp;view=doc&amp;id=296375&amp;lang=2" TargetMode="External"/><Relationship Id="rId9" Type="http://schemas.openxmlformats.org/officeDocument/2006/relationships/hyperlink" Target="http://lex.justice.md/document_rom.php?id=9D04A5AE:4E990058" TargetMode="External"/><Relationship Id="rId14" Type="http://schemas.openxmlformats.org/officeDocument/2006/relationships/hyperlink" Target="http://lex.justice.md/viewdoc.php?action=view&amp;view=doc&amp;id=296375&amp;lang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1877</Words>
  <Characters>10705</Characters>
  <Application>Microsoft Office Word</Application>
  <DocSecurity>0</DocSecurity>
  <Lines>89</Lines>
  <Paragraphs>25</Paragraphs>
  <ScaleCrop>false</ScaleCrop>
  <Company>AMAC</Company>
  <LinksUpToDate>false</LinksUpToDate>
  <CharactersWithSpaces>12557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2</cp:revision>
  <dcterms:created xsi:type="dcterms:W3CDTF">2012-03-16T11:09:00Z</dcterms:created>
  <dcterms:modified xsi:type="dcterms:W3CDTF">2012-03-16T11:09:00Z</dcterms:modified>
</cp:coreProperties>
</file>