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215"/>
        <w:gridCol w:w="3740"/>
      </w:tblGrid>
      <w:tr w:rsidR="005D1832" w:rsidRPr="005D1832" w:rsidTr="005D1832">
        <w:trPr>
          <w:tblCellSpacing w:w="75" w:type="dxa"/>
        </w:trPr>
        <w:tc>
          <w:tcPr>
            <w:tcW w:w="0" w:type="auto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>HGM141/1993</w:t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295817 </w:t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832" w:rsidRPr="005D1832" w:rsidRDefault="00D51E81" w:rsidP="005D1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="005D1832"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="005D1832"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D1832"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="005D1832"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5D1832" w:rsidRPr="005D18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="005D1832"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1832" w:rsidRPr="005D1832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5D1832" w:rsidRPr="005D1832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GUVERNUL</w:t>
            </w:r>
          </w:p>
        </w:tc>
      </w:tr>
      <w:tr w:rsidR="005D1832" w:rsidRPr="005D1832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141 </w:t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18.03.1993 </w:t>
            </w:r>
          </w:p>
        </w:tc>
      </w:tr>
      <w:tr w:rsidR="005D1832" w:rsidRPr="0022073B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Cu privire la unele măsuri suplimentare în vederea</w:t>
            </w:r>
            <w:r w:rsidRPr="005D1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recalificării şi perfecţionării cadrelor din economia naţională</w:t>
            </w:r>
          </w:p>
        </w:tc>
      </w:tr>
      <w:tr w:rsidR="005D1832" w:rsidRPr="0022073B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30.03.1993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Oficial Nr. 003     Promulgat : 18.03.1993     Data intrarii in vigoare : 30.03.1993 </w:t>
            </w:r>
          </w:p>
        </w:tc>
      </w:tr>
      <w:tr w:rsidR="005D1832" w:rsidRPr="0022073B" w:rsidTr="005D183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FF0000"/>
                <w:sz w:val="24"/>
                <w:szCs w:val="24"/>
                <w:lang w:val="en-US"/>
              </w:rPr>
              <w:t>Modificat</w:t>
            </w:r>
            <w:proofErr w:type="spellEnd"/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Hot. Guv. nr.613 din 04.09.95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În scopul asigurării   economiei   naţionale  cu  cadre  calificate, Guvernul Republicii Moldova  h o t ă r ă ş t e: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1. Ministerele, departamentele  de stat, organele  autoadministrării locale,   întreprinderile  şi  organizaţiile,  indiferent  de  forma  de proprietate  şi  gospodărire,  vor asigura în  cursul  anilor  1993-1994 perfecţionarea  personalului  de conducere şi specialiştilor  de  profil economic  de  toate  nivelurile,  prevăzînd în  devizele  respective  de cheltuieli mijloacele financiare necesare în acest scop în mărime de cel puţin 2 la sută din fondul total de remunereare a muncii.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2. Ministerul  Finanţelor  va  prevedea în buget pe anii  1993-1994, conform  propunerilor  organizaţiilor  bugetare,  alocaţii  suplimentare pentru recalificarea şi perfecţionarea cadrelor.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3. Se srabilesc următoarele  termene  de instruire a  lucrărilor  de conducere,  specialiştilor  şi altor categorii de personal din  economia naţională: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a) perfecţionare: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cu scoatere din producţie - pînă la 3 luni;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fără scoatere din producţie - pînă la 6 luni;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b) recalificare: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cu scoatere din producţie - pînă la 2 ani;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fără scoatere din producţie - pînă la 3 ani;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c) stagierea  (perfecţionare  cu caracter practic în organizaţii  şi întreprinderi) - pînă la 2 ani.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4.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trimise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la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perfecţionare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recalificare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(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un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termen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nu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depîşeşte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6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luni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instituţiile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din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Moldova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din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statele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circulaţie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rublei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cu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întrerupere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din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serviciu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menţin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salariile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medii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lunare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locul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>respectiv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muncă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iar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detaşate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aceleaşi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scopuri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termene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depăşesc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6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ouni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menăine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75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salariile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medii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lunare.  Persoanelor  deplasate  pentru  instruire  le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sînt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compensate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cheltuielile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plătesc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diurne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toată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perioada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instruire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mărimile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stabilite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actele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normative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vigoare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privind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compensarea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cheltuielilor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deplasate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scopul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serviciu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cazurile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cînd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termenul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deplasării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recalificare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proofErr w:type="gram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perfecţionare</w:t>
            </w:r>
            <w:proofErr w:type="spellEnd"/>
            <w:proofErr w:type="gram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depăşesc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cuantumul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diurnei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reduce cu 20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iar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peste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60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- cu 30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Dacă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lucrătorii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pleacă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în  deplasare  sînt  asiguraţi  cu  hrana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gratuită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cuantumul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diurnei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constituie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30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norma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diurnelor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Cheltuielile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salarizare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transport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tur-retur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odată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an)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plata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diurnelor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sînt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suportate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ministerele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departamentele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stat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organizaţiile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unde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activează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detaşate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5.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Ministerul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Ştiinţei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Învăţămîmtului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forma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structura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limita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mijloacelor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statelor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aprodate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o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direcţie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dirizare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procesului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recalificare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perfecţionare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cadrelor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din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economia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naţională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  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organizare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a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activităţii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de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atestare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licenţiere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instituţiilor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recalificare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perfecţionare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cadrelor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[Pct.6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abrogat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Hot.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Guv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. nr.613 din 04.09.95]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7. Se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abrogă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hotărîrea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Guvernului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Moldova din 16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septembrie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1991  nr. 517 "Cu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modificarea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aprobarea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unor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Guvernului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R.S.S. Moldova";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punctul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 al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Guvernului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R.S.S. Moldova din 18  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septembrie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1990  nr.  325  "Cu  privire  la  asigurarea  materială  a  lucrătorilor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repartizării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la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cursurile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pregătire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reciclare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însuşire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unei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profesiuni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perfecţionare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au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abandonat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producţia</w:t>
            </w:r>
            <w:proofErr w:type="spellEnd"/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".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PRIM-MINISTRU</w:t>
            </w:r>
          </w:p>
          <w:p w:rsidR="005D1832" w:rsidRPr="005D1832" w:rsidRDefault="005D1832" w:rsidP="005D1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832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 AL REPUBLICII MOLDOVA                       Andrei SANGHELI</w:t>
            </w:r>
            <w:r w:rsidRPr="005D1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6B7356" w:rsidRDefault="006B7356">
      <w:pPr>
        <w:rPr>
          <w:lang w:val="en-US"/>
        </w:rPr>
      </w:pPr>
    </w:p>
    <w:p w:rsidR="002277A8" w:rsidRDefault="002277A8">
      <w:pPr>
        <w:rPr>
          <w:lang w:val="en-US"/>
        </w:rPr>
      </w:pPr>
    </w:p>
    <w:p w:rsidR="0022073B" w:rsidRDefault="0022073B">
      <w:pPr>
        <w:rPr>
          <w:lang w:val="en-US"/>
        </w:rPr>
      </w:pPr>
    </w:p>
    <w:p w:rsidR="0022073B" w:rsidRDefault="0022073B">
      <w:pPr>
        <w:rPr>
          <w:lang w:val="en-US"/>
        </w:rPr>
      </w:pPr>
    </w:p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971"/>
        <w:gridCol w:w="3984"/>
      </w:tblGrid>
      <w:tr w:rsidR="0022073B" w:rsidTr="0022073B">
        <w:trPr>
          <w:tblCellSpacing w:w="75" w:type="dxa"/>
        </w:trPr>
        <w:tc>
          <w:tcPr>
            <w:tcW w:w="0" w:type="auto"/>
            <w:vAlign w:val="center"/>
            <w:hideMark/>
          </w:tcPr>
          <w:p w:rsidR="0022073B" w:rsidRPr="0022073B" w:rsidRDefault="0022073B">
            <w:pPr>
              <w:rPr>
                <w:sz w:val="24"/>
                <w:szCs w:val="24"/>
                <w:lang w:val="en-US"/>
              </w:rPr>
            </w:pPr>
            <w:r w:rsidRPr="0022073B">
              <w:rPr>
                <w:lang w:val="en-US"/>
              </w:rPr>
              <w:t>HGM141/1993</w:t>
            </w:r>
            <w:r w:rsidRPr="0022073B">
              <w:rPr>
                <w:lang w:val="en-US"/>
              </w:rPr>
              <w:br/>
            </w:r>
            <w:r>
              <w:t>Внутренний</w:t>
            </w:r>
            <w:r w:rsidRPr="0022073B">
              <w:rPr>
                <w:lang w:val="en-US"/>
              </w:rPr>
              <w:t xml:space="preserve"> </w:t>
            </w:r>
            <w:r>
              <w:t>номер</w:t>
            </w:r>
            <w:r w:rsidRPr="0022073B">
              <w:rPr>
                <w:lang w:val="en-US"/>
              </w:rPr>
              <w:t xml:space="preserve">:  295817 </w:t>
            </w:r>
            <w:r w:rsidRPr="0022073B">
              <w:rPr>
                <w:lang w:val="en-US"/>
              </w:rPr>
              <w:br/>
            </w:r>
            <w:hyperlink r:id="rId7" w:history="1">
              <w:proofErr w:type="spellStart"/>
              <w:r w:rsidRPr="0022073B">
                <w:rPr>
                  <w:rStyle w:val="a3"/>
                  <w:lang w:val="en-US"/>
                </w:rPr>
                <w:t>Varianta</w:t>
              </w:r>
              <w:proofErr w:type="spellEnd"/>
              <w:r w:rsidRPr="0022073B">
                <w:rPr>
                  <w:rStyle w:val="a3"/>
                  <w:lang w:val="en-US"/>
                </w:rPr>
                <w:t xml:space="preserve"> </w:t>
              </w:r>
              <w:proofErr w:type="spellStart"/>
              <w:r w:rsidRPr="0022073B">
                <w:rPr>
                  <w:rStyle w:val="a3"/>
                  <w:lang w:val="en-US"/>
                </w:rPr>
                <w:t>în</w:t>
              </w:r>
              <w:proofErr w:type="spellEnd"/>
              <w:r w:rsidRPr="0022073B">
                <w:rPr>
                  <w:rStyle w:val="a3"/>
                  <w:lang w:val="en-US"/>
                </w:rPr>
                <w:t xml:space="preserve"> </w:t>
              </w:r>
              <w:proofErr w:type="spellStart"/>
              <w:r w:rsidRPr="0022073B">
                <w:rPr>
                  <w:rStyle w:val="a3"/>
                  <w:lang w:val="en-US"/>
                </w:rPr>
                <w:t>limba</w:t>
              </w:r>
              <w:proofErr w:type="spellEnd"/>
              <w:r w:rsidRPr="0022073B">
                <w:rPr>
                  <w:rStyle w:val="a3"/>
                  <w:lang w:val="en-US"/>
                </w:rPr>
                <w:t xml:space="preserve"> de stat</w:t>
              </w:r>
            </w:hyperlink>
            <w:r w:rsidRPr="0022073B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073B" w:rsidRDefault="0022073B">
            <w:pPr>
              <w:jc w:val="right"/>
              <w:rPr>
                <w:sz w:val="24"/>
                <w:szCs w:val="24"/>
              </w:rPr>
            </w:pPr>
            <w:hyperlink r:id="rId8" w:history="1">
              <w:r>
                <w:rPr>
                  <w:rStyle w:val="a3"/>
                </w:rPr>
                <w:t>Карточка документа</w:t>
              </w:r>
            </w:hyperlink>
            <w:r>
              <w:t xml:space="preserve"> 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95300" cy="590550"/>
                  <wp:effectExtent l="19050" t="0" r="0" b="0"/>
                  <wp:docPr id="3" name="Рисунок 3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rStyle w:val="a4"/>
              </w:rPr>
              <w:t>Республика Молдова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>
            <w:pPr>
              <w:jc w:val="center"/>
              <w:rPr>
                <w:sz w:val="24"/>
                <w:szCs w:val="24"/>
              </w:rPr>
            </w:pPr>
            <w:r>
              <w:rPr>
                <w:rStyle w:val="a4"/>
              </w:rPr>
              <w:t>ПРАВИТЕЛЬСТВО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>
            <w:pPr>
              <w:jc w:val="center"/>
              <w:rPr>
                <w:sz w:val="24"/>
                <w:szCs w:val="24"/>
              </w:rPr>
            </w:pPr>
            <w:r>
              <w:rPr>
                <w:rStyle w:val="a4"/>
              </w:rPr>
              <w:lastRenderedPageBreak/>
              <w:t>ПОСТАНОВЛЕНИЕ</w:t>
            </w:r>
            <w:r>
              <w:t xml:space="preserve"> </w:t>
            </w:r>
            <w:proofErr w:type="spellStart"/>
            <w:r>
              <w:t>Nr</w:t>
            </w:r>
            <w:proofErr w:type="spellEnd"/>
            <w:r>
              <w:t xml:space="preserve">. 141 </w:t>
            </w:r>
            <w:r>
              <w:br/>
              <w:t xml:space="preserve">от  18.03.1993 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>
            <w:pPr>
              <w:jc w:val="center"/>
              <w:rPr>
                <w:sz w:val="24"/>
                <w:szCs w:val="24"/>
              </w:rPr>
            </w:pPr>
            <w:r>
              <w:rPr>
                <w:rStyle w:val="a4"/>
              </w:rPr>
              <w:t xml:space="preserve">О некоторых дополнительных мерах по повышению квалификации 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и переподготовке кадров национальной экономики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>
            <w:pPr>
              <w:rPr>
                <w:sz w:val="24"/>
                <w:szCs w:val="24"/>
              </w:rPr>
            </w:pPr>
            <w:r>
              <w:t>Опубликован</w:t>
            </w:r>
            <w:proofErr w:type="gramStart"/>
            <w:r>
              <w:t xml:space="preserve"> :</w:t>
            </w:r>
            <w:proofErr w:type="gramEnd"/>
            <w:r>
              <w:t xml:space="preserve"> 30.03.1993 в </w:t>
            </w:r>
            <w:proofErr w:type="spellStart"/>
            <w:r>
              <w:t>Monitorul</w:t>
            </w:r>
            <w:proofErr w:type="spellEnd"/>
            <w:r>
              <w:t xml:space="preserve"> </w:t>
            </w:r>
            <w:proofErr w:type="spellStart"/>
            <w:r>
              <w:t>Oficial</w:t>
            </w:r>
            <w:proofErr w:type="spellEnd"/>
            <w:r>
              <w:t xml:space="preserve"> </w:t>
            </w:r>
            <w:proofErr w:type="spellStart"/>
            <w:r>
              <w:t>Nr</w:t>
            </w:r>
            <w:proofErr w:type="spellEnd"/>
            <w:r>
              <w:t xml:space="preserve">. 003     </w:t>
            </w:r>
            <w:proofErr w:type="spellStart"/>
            <w:r>
              <w:t>Промульгирован</w:t>
            </w:r>
            <w:proofErr w:type="spellEnd"/>
            <w:r>
              <w:t xml:space="preserve"> : 18.03.1993     Дата вступления в силу : 30.03.1993 </w:t>
            </w:r>
          </w:p>
        </w:tc>
      </w:tr>
      <w:tr w:rsidR="0022073B" w:rsidTr="0022073B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2073B" w:rsidRDefault="0022073B" w:rsidP="0022073B">
            <w:r>
              <w:rPr>
                <w:rFonts w:ascii="Times New Roman CE" w:hAnsi="Times New Roman CE" w:cs="Times New Roman CE"/>
                <w:color w:val="FF0000"/>
              </w:rPr>
              <w:t>ИЗМЕНЕН</w:t>
            </w:r>
            <w:proofErr w:type="gramStart"/>
            <w:r>
              <w:rPr>
                <w:rFonts w:ascii="Times New Roman CE" w:hAnsi="Times New Roman CE" w:cs="Times New Roman CE"/>
                <w:color w:val="FF0000"/>
              </w:rPr>
              <w:t>O</w:t>
            </w:r>
            <w:proofErr w:type="gramEnd"/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В целях  обеспечения  национальной экономики  квалифицированными кадрами Правительство Республики Молдова ПОСТАНОВЛЯЕТ: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 xml:space="preserve">1. </w:t>
            </w:r>
            <w:proofErr w:type="gramStart"/>
            <w:r>
              <w:rPr>
                <w:rFonts w:ascii="Times New Roman CE" w:hAnsi="Times New Roman CE" w:cs="Times New Roman CE"/>
                <w:color w:val="000000"/>
              </w:rPr>
              <w:t>Министерствам, государственным департаментам, органам местного  самоуправления,  предприятиям  и организациям, независимо от форм собственности и хозяйствования, обеспечить в течение 1993-1994  годов повышение квалификации руководящих работников и специалистов экономического профиля всех уровней, предусмотрев для этой цели в соответствующих  сметах  расходов необходимые финансовые средства в размере не менее чем 2 процента общего объема фонда заработной платы.</w:t>
            </w:r>
            <w:proofErr w:type="gramEnd"/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2. Министерству финансов предусмотреть в бюджете на 1993 и  1994 годы, согласно предложениям бюджетных организаций, дополнительные ассигнования для повышения квалификации и переподготовки кадров.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3. Установить для руководителей, специалистов и других категорий работников национальной экономики следующие сроки обучения: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а) повышение квалификации: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с отрывом от производства - до 3 месяцев;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без отрыва от производства - до 6 месяцев;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б) переподготовка: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с отрывом от производства - до 2 лет;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без отрыва от производства - до 3 лет;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в)  стажировка (повышение квалификации с прохождением практики в организациях и на предприятиях) - до 2 лет.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 xml:space="preserve">4. Лицам, направленным на повышение квалификации и переподготовку (на </w:t>
            </w:r>
            <w:proofErr w:type="gramStart"/>
            <w:r>
              <w:rPr>
                <w:rFonts w:ascii="Times New Roman CE" w:hAnsi="Times New Roman CE" w:cs="Times New Roman CE"/>
                <w:color w:val="000000"/>
              </w:rPr>
              <w:t>срок</w:t>
            </w:r>
            <w:proofErr w:type="gramEnd"/>
            <w:r>
              <w:rPr>
                <w:rFonts w:ascii="Times New Roman CE" w:hAnsi="Times New Roman CE" w:cs="Times New Roman CE"/>
                <w:color w:val="000000"/>
              </w:rPr>
              <w:t xml:space="preserve"> не  превышающий  6 месяцев) в  институты и на предприятия Республики  Молдова и  стран рублевой зоны с отрывом от производства, сохраняется среднемесячная заработная  плата по соответствующему месту работы, а лицам, командированным в  этих целях на сроки, </w:t>
            </w:r>
            <w:r>
              <w:rPr>
                <w:rFonts w:ascii="Times New Roman CE" w:hAnsi="Times New Roman CE" w:cs="Times New Roman CE"/>
                <w:color w:val="000000"/>
              </w:rPr>
              <w:lastRenderedPageBreak/>
              <w:t>превышающие 6 месяцев, сохраняется среднемесячная заработная  плата в размере 75 процентов. Лицам, командированным на обучение, компенсируются затраты по найму жилья и оплачиваются суточные на весь период обучения в размерах  установленных  действующими нормативными актами, касающимся компенсации затрат лицам, командированным в служебных целях.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 xml:space="preserve">В  случаях, когда срок командировки для повышения квалификации и переподготовки превышает 30 дней, </w:t>
            </w:r>
            <w:proofErr w:type="spellStart"/>
            <w:proofErr w:type="gramStart"/>
            <w:r>
              <w:rPr>
                <w:rFonts w:ascii="Times New Roman CE" w:hAnsi="Times New Roman CE" w:cs="Times New Roman CE"/>
                <w:color w:val="000000"/>
              </w:rPr>
              <w:t>p</w:t>
            </w:r>
            <w:proofErr w:type="gramEnd"/>
            <w:r>
              <w:rPr>
                <w:rFonts w:ascii="Times New Roman CE" w:hAnsi="Times New Roman CE" w:cs="Times New Roman CE"/>
                <w:color w:val="000000"/>
              </w:rPr>
              <w:t>оазмер</w:t>
            </w:r>
            <w:proofErr w:type="spellEnd"/>
            <w:r>
              <w:rPr>
                <w:rFonts w:ascii="Times New Roman CE" w:hAnsi="Times New Roman CE" w:cs="Times New Roman CE"/>
                <w:color w:val="000000"/>
              </w:rPr>
              <w:t xml:space="preserve"> суточных сокращается  на 20 процентов, а 60 дней - на 30 процентов. Если работники, находящиеся в командировке,  обеспечиваются  бесплатным  питанием,  размер суточных составляет 30 процентов от установленной нормы.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Расходы по оплате заработной платы, найму  жилья,  транспорта  в оба конца (один раз в году) и суточных несут министерства, государственные департаменты, предприятия и организации, где работают командированные лица.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5. Министерству науки и образования создать в структуре аппарата (в пределах утвержденных средств и штатов) управление по  регулированию процесса повышения квалификации и переподготовка кадров  национальной экономики, организации аттестации и лицензирования институтов и других учреждений повышения квалификации и переподготовки кадров.</w:t>
            </w:r>
          </w:p>
          <w:p w:rsidR="0022073B" w:rsidRDefault="0022073B" w:rsidP="0022073B">
            <w:proofErr w:type="gramStart"/>
            <w:r>
              <w:rPr>
                <w:rFonts w:ascii="Times New Roman CE" w:hAnsi="Times New Roman CE" w:cs="Times New Roman CE"/>
                <w:i/>
                <w:iCs/>
                <w:color w:val="0000FF"/>
              </w:rPr>
              <w:t xml:space="preserve">[Пкт.6 утратил силу в </w:t>
            </w:r>
            <w:proofErr w:type="spellStart"/>
            <w:r>
              <w:rPr>
                <w:rFonts w:ascii="Times New Roman CE" w:hAnsi="Times New Roman CE" w:cs="Times New Roman CE"/>
                <w:i/>
                <w:iCs/>
                <w:color w:val="0000FF"/>
              </w:rPr>
              <w:t>соответ</w:t>
            </w:r>
            <w:proofErr w:type="spellEnd"/>
            <w:r>
              <w:rPr>
                <w:rFonts w:ascii="Times New Roman CE" w:hAnsi="Times New Roman CE" w:cs="Times New Roman CE"/>
                <w:i/>
                <w:iCs/>
                <w:color w:val="0000FF"/>
              </w:rPr>
              <w:t>. с Пост.</w:t>
            </w:r>
            <w:proofErr w:type="gramEnd"/>
            <w:r>
              <w:rPr>
                <w:rFonts w:ascii="Times New Roman CE" w:hAnsi="Times New Roman CE" w:cs="Times New Roman CE"/>
                <w:i/>
                <w:iCs/>
                <w:color w:val="0000FF"/>
              </w:rPr>
              <w:t xml:space="preserve"> Прав. </w:t>
            </w:r>
            <w:proofErr w:type="gramStart"/>
            <w:r>
              <w:rPr>
                <w:rFonts w:ascii="Times New Roman CE" w:hAnsi="Times New Roman CE" w:cs="Times New Roman CE"/>
                <w:i/>
                <w:iCs/>
                <w:color w:val="0000FF"/>
              </w:rPr>
              <w:t>N 613 от 04.09.95]</w:t>
            </w:r>
            <w:proofErr w:type="gramEnd"/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7. Признать утратившим силу:</w:t>
            </w:r>
          </w:p>
          <w:p w:rsidR="0022073B" w:rsidRDefault="0022073B" w:rsidP="0022073B">
            <w:proofErr w:type="spellStart"/>
            <w:proofErr w:type="gramStart"/>
            <w:r>
              <w:rPr>
                <w:rFonts w:ascii="Times New Roman CE" w:hAnsi="Times New Roman CE" w:cs="Times New Roman CE"/>
                <w:color w:val="000000"/>
              </w:rPr>
              <w:t>поствновление</w:t>
            </w:r>
            <w:proofErr w:type="spellEnd"/>
            <w:r>
              <w:rPr>
                <w:rFonts w:ascii="Times New Roman CE" w:hAnsi="Times New Roman CE" w:cs="Times New Roman CE"/>
                <w:color w:val="000000"/>
              </w:rPr>
              <w:t xml:space="preserve">  Правительства  Республики  Молдова от 16 сентября 1991 г. N 517 \"Об изменении и признании  утратившими  силу  некоторых постановлений Правительства ССР </w:t>
            </w:r>
            <w:proofErr w:type="spellStart"/>
            <w:r>
              <w:rPr>
                <w:rFonts w:ascii="Times New Roman CE" w:hAnsi="Times New Roman CE" w:cs="Times New Roman CE"/>
                <w:color w:val="000000"/>
              </w:rPr>
              <w:t>Молдова\</w:t>
            </w:r>
            <w:proofErr w:type="spellEnd"/>
            <w:r>
              <w:rPr>
                <w:rFonts w:ascii="Times New Roman CE" w:hAnsi="Times New Roman CE" w:cs="Times New Roman CE"/>
                <w:color w:val="000000"/>
              </w:rPr>
              <w:t>";</w:t>
            </w:r>
            <w:proofErr w:type="gramEnd"/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 xml:space="preserve">пункт  1  постановления Правительства ССР Молдова от 18 сентября 1990 г. N 325 \"О материальном обеспечении  рабочих,  направляемых  на подготовку,  переподготовку,  обучение  вторым профессиям и повышение квалификации с отрывом от </w:t>
            </w:r>
            <w:proofErr w:type="spellStart"/>
            <w:r>
              <w:rPr>
                <w:rFonts w:ascii="Times New Roman CE" w:hAnsi="Times New Roman CE" w:cs="Times New Roman CE"/>
                <w:color w:val="000000"/>
              </w:rPr>
              <w:t>производства\</w:t>
            </w:r>
            <w:proofErr w:type="spellEnd"/>
            <w:r>
              <w:rPr>
                <w:rFonts w:ascii="Times New Roman CE" w:hAnsi="Times New Roman CE" w:cs="Times New Roman CE"/>
                <w:color w:val="000000"/>
              </w:rPr>
              <w:t>";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 xml:space="preserve">     </w:t>
            </w:r>
          </w:p>
          <w:p w:rsidR="0022073B" w:rsidRDefault="0022073B" w:rsidP="0022073B">
            <w:r>
              <w:rPr>
                <w:rFonts w:ascii="Times New Roman CE" w:hAnsi="Times New Roman CE" w:cs="Times New Roman CE"/>
                <w:color w:val="000000"/>
              </w:rPr>
              <w:t>        Премьер - министр</w:t>
            </w:r>
          </w:p>
          <w:p w:rsidR="0022073B" w:rsidRDefault="0022073B" w:rsidP="0022073B">
            <w:pPr>
              <w:rPr>
                <w:sz w:val="24"/>
                <w:szCs w:val="24"/>
              </w:rPr>
            </w:pPr>
            <w:r>
              <w:rPr>
                <w:rFonts w:ascii="Times New Roman CE" w:hAnsi="Times New Roman CE" w:cs="Times New Roman CE"/>
                <w:color w:val="000000"/>
              </w:rPr>
              <w:t>        Республики Молдова                            АНДРЕЙ САНГЕЛИ</w:t>
            </w:r>
            <w:r>
              <w:t xml:space="preserve"> </w:t>
            </w:r>
          </w:p>
        </w:tc>
      </w:tr>
    </w:tbl>
    <w:p w:rsidR="0022073B" w:rsidRPr="0022073B" w:rsidRDefault="0022073B"/>
    <w:sectPr w:rsidR="0022073B" w:rsidRPr="0022073B" w:rsidSect="00B9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832"/>
    <w:rsid w:val="0022073B"/>
    <w:rsid w:val="002277A8"/>
    <w:rsid w:val="005D1832"/>
    <w:rsid w:val="006B7356"/>
    <w:rsid w:val="00B9704A"/>
    <w:rsid w:val="00D5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832"/>
    <w:rPr>
      <w:color w:val="0000FF"/>
      <w:u w:val="single"/>
    </w:rPr>
  </w:style>
  <w:style w:type="character" w:styleId="a4">
    <w:name w:val="Strong"/>
    <w:basedOn w:val="a0"/>
    <w:uiPriority w:val="22"/>
    <w:qFormat/>
    <w:rsid w:val="005D18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D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index.php?action=view&amp;view=doc&amp;lang=2&amp;id=2958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viewdoc.php?action=view&amp;view=doc&amp;id=295817&amp;lang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lex.justice.md/viewdoc.php?action=view&amp;view=doc&amp;id=295817&amp;lang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lex.justice.md/viewdoc.php?action=view&amp;view=doc&amp;id=295817&amp;lang=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1213</Words>
  <Characters>6919</Characters>
  <Application>Microsoft Office Word</Application>
  <DocSecurity>0</DocSecurity>
  <Lines>57</Lines>
  <Paragraphs>16</Paragraphs>
  <ScaleCrop>false</ScaleCrop>
  <Company>AMAC</Company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6</cp:revision>
  <dcterms:created xsi:type="dcterms:W3CDTF">2012-12-20T09:55:00Z</dcterms:created>
  <dcterms:modified xsi:type="dcterms:W3CDTF">2012-12-26T06:54:00Z</dcterms:modified>
</cp:coreProperties>
</file>