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6240"/>
        <w:gridCol w:w="150"/>
        <w:gridCol w:w="3565"/>
      </w:tblGrid>
      <w:tr w:rsidR="006903F0" w:rsidRPr="006903F0" w:rsidTr="006903F0">
        <w:trPr>
          <w:tblCellSpacing w:w="75" w:type="dxa"/>
        </w:trPr>
        <w:tc>
          <w:tcPr>
            <w:tcW w:w="0" w:type="auto"/>
            <w:vAlign w:val="center"/>
            <w:hideMark/>
          </w:tcPr>
          <w:p w:rsidR="006903F0" w:rsidRPr="006903F0" w:rsidRDefault="006903F0" w:rsidP="0069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>HANRTIM12/1/2002</w:t>
            </w:r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ID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>intern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>unic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 285336 </w:t>
            </w:r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" w:history="1">
              <w:r w:rsidRPr="006903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Версия на русском</w:t>
              </w:r>
            </w:hyperlink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903F0" w:rsidRPr="006903F0" w:rsidRDefault="006903F0" w:rsidP="00690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Pr="006903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Fişa</w:t>
              </w:r>
              <w:proofErr w:type="spellEnd"/>
              <w:r w:rsidRPr="006903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6903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actului</w:t>
              </w:r>
              <w:proofErr w:type="spellEnd"/>
              <w:r w:rsidRPr="006903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6903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juridic</w:t>
              </w:r>
              <w:proofErr w:type="spellEnd"/>
            </w:hyperlink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03F0" w:rsidRPr="006903F0" w:rsidTr="006903F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6903F0" w:rsidRPr="006903F0" w:rsidRDefault="006903F0" w:rsidP="0069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Republica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Moldova</w:t>
            </w:r>
            <w:proofErr w:type="spellEnd"/>
          </w:p>
        </w:tc>
      </w:tr>
      <w:tr w:rsidR="006903F0" w:rsidRPr="006903F0" w:rsidTr="006903F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6903F0" w:rsidRPr="006903F0" w:rsidRDefault="006903F0" w:rsidP="0069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AGENŢIA NAŢIONALĂ PENTRU REGLEMENTARE ÎN TELECOMUNICAŢII ŞI INFORMATICĂ</w:t>
            </w:r>
          </w:p>
        </w:tc>
      </w:tr>
      <w:tr w:rsidR="006903F0" w:rsidRPr="006903F0" w:rsidTr="006903F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6903F0" w:rsidRPr="006903F0" w:rsidRDefault="006903F0" w:rsidP="0069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HOTĂRÎRE</w:t>
            </w:r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12/1 </w:t>
            </w:r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>din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26.12.2002 </w:t>
            </w:r>
          </w:p>
        </w:tc>
      </w:tr>
      <w:tr w:rsidR="006903F0" w:rsidRPr="006903F0" w:rsidTr="006903F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6903F0" w:rsidRPr="006903F0" w:rsidRDefault="006903F0" w:rsidP="0069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cu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privire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aprobarea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Planului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rebalansare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tarifelor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serviciile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publice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telecomunicaţii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bază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Operatorului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situaţie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 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dominantă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pe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piaţa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acestor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servicii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S.A. "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Moldtelecom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"</w:t>
            </w:r>
          </w:p>
        </w:tc>
      </w:tr>
      <w:tr w:rsidR="006903F0" w:rsidRPr="006903F0" w:rsidTr="006903F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6903F0" w:rsidRPr="006903F0" w:rsidRDefault="006903F0" w:rsidP="0069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Publicat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 15.01.2003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Monitorul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Oficial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1     art Nr : 1     Data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intrarii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vigoare</w:t>
            </w:r>
            <w:proofErr w:type="spellEnd"/>
            <w:r w:rsidRPr="006903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15.01.2003 </w:t>
            </w:r>
          </w:p>
        </w:tc>
      </w:tr>
      <w:tr w:rsidR="006903F0" w:rsidRPr="006903F0" w:rsidTr="006903F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i/>
                <w:iCs/>
                <w:color w:val="FF0000"/>
                <w:sz w:val="24"/>
                <w:szCs w:val="24"/>
                <w:lang w:val="en-US"/>
              </w:rPr>
              <w:t>MODIFICAT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Рисунок 2" descr="http://lex.justice.md/images/link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x.justice.md/images/link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03F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HANRTI 09/2 din 31.03.04, MO56-60/09.04.04 art.144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Ca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urmare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propunerii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S.A. "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Moldtelecom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"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aprobare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planului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rebalansare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serviciile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publice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telecomunicaţii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bază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locale,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interurbane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internaţionale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,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analizînd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argumentele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calculele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S.A. "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Moldtelecom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privind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necesitatea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aducerii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conformitate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costul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serviciilor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prestate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,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ţinînd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cont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necesitatea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pregătirii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pieţei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telecomunicaţiilor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Republicii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Moldova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liberalizarea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completă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preconizată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la 1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ianuarie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2004,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constatînd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calculele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prezentate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justificate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proofErr w:type="gram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temeiul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art.9(1) lit. d) </w:t>
            </w:r>
            <w:proofErr w:type="spellStart"/>
            <w:proofErr w:type="gram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proofErr w:type="gram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art. 22 al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Legii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telecomunicaţiilor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nr.520 din 07.07.1995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modificările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completările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ulterioare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precum</w:t>
            </w:r>
            <w:proofErr w:type="spellEnd"/>
            <w:proofErr w:type="gram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baza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Regulamentului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privire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serviciile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publice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telecomunicaţii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informatică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aprobat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Hotărîrea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Guvernului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Republicii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Moldova nr. 323 din 18.03.2002,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Consiliul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Administraţie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HOTĂRĂŞTE: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1.  A</w:t>
            </w:r>
            <w:proofErr w:type="gram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aproba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Planul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rebalansare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serviciile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publice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telecomunicaţii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bază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Operatorului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situaţie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dominantă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piaţa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acestor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servicii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S.A. "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Moldtelecom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" (se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anexează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).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2.  S.A. "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Moldtelecom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face</w:t>
            </w:r>
            <w:proofErr w:type="gram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publice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aprobate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prezenta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Hotărîre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cel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puţin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15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înainte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data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punerii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aplicare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3.  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Prezenta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Hotărîre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intră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vigoare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data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publicării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Preşedintele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Consiliului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administraţie</w:t>
            </w:r>
            <w:proofErr w:type="spellEnd"/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al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Agenţiei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Naţionale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lastRenderedPageBreak/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Reglementare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Telecomunicaţii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Informatică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                              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Iurie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TĂBÎRŢĂ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Chişinău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26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decembrie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2002.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Nr. 12/1.</w:t>
            </w:r>
          </w:p>
          <w:p w:rsidR="006903F0" w:rsidRPr="006903F0" w:rsidRDefault="006903F0" w:rsidP="006903F0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Anexă</w:t>
            </w:r>
            <w:proofErr w:type="spellEnd"/>
          </w:p>
          <w:p w:rsidR="006903F0" w:rsidRPr="006903F0" w:rsidRDefault="006903F0" w:rsidP="006903F0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la HOTĂRÎREA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Consiliului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Administraţie</w:t>
            </w:r>
            <w:proofErr w:type="spellEnd"/>
          </w:p>
          <w:p w:rsidR="006903F0" w:rsidRPr="006903F0" w:rsidRDefault="006903F0" w:rsidP="006903F0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Agenţiei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Naţionale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Reglementare</w:t>
            </w:r>
            <w:proofErr w:type="spellEnd"/>
          </w:p>
          <w:p w:rsidR="006903F0" w:rsidRPr="006903F0" w:rsidRDefault="006903F0" w:rsidP="006903F0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Telecomunicaţii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Informatică</w:t>
            </w:r>
            <w:proofErr w:type="spellEnd"/>
          </w:p>
          <w:p w:rsidR="006903F0" w:rsidRPr="006903F0" w:rsidRDefault="006903F0" w:rsidP="006903F0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gram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nr</w:t>
            </w:r>
            <w:proofErr w:type="gram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. 12/1 din 26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decembrie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2002</w:t>
            </w:r>
          </w:p>
          <w:p w:rsidR="006903F0" w:rsidRPr="006903F0" w:rsidRDefault="006903F0" w:rsidP="006903F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Planul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rebalansare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903F0" w:rsidRPr="006903F0" w:rsidRDefault="006903F0" w:rsidP="006903F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tarifelor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serviciile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publice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telecomunicaţii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bază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903F0" w:rsidRPr="006903F0" w:rsidRDefault="006903F0" w:rsidP="006903F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ale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Operatorului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situaţie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dominantă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pe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piaţa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acestor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>servicii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903F0" w:rsidRPr="006903F0" w:rsidRDefault="006903F0" w:rsidP="006903F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</w:rPr>
            </w:pPr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</w:rPr>
              <w:t>S.A. "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</w:rPr>
              <w:t>Moldtelecom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</w:rPr>
              <w:t>"</w:t>
            </w: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1"/>
              <w:gridCol w:w="592"/>
              <w:gridCol w:w="1158"/>
              <w:gridCol w:w="520"/>
              <w:gridCol w:w="1183"/>
              <w:gridCol w:w="502"/>
              <w:gridCol w:w="1158"/>
              <w:gridCol w:w="502"/>
              <w:gridCol w:w="1158"/>
              <w:gridCol w:w="552"/>
              <w:gridCol w:w="1229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Denumirea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Actual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Etapa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I  /  01.02.2003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Etapa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II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Etapa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III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Etapa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IV  /  31.03.2004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de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vărf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cu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intensitate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redusă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de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vărf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cu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intensitate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redusă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de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vărf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cu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intensitate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redusă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de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vărf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cu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intensitate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redusă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de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vărf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Ore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cu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intensitate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redusă</w:t>
                  </w:r>
                  <w:proofErr w:type="spellEnd"/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10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TARIFELE PENTRU SERVICIILE TELEFONICE LOCALE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40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Tarifele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pentru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: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15"/>
              <w:gridCol w:w="405"/>
              <w:gridCol w:w="340"/>
              <w:gridCol w:w="315"/>
              <w:gridCol w:w="315"/>
              <w:gridCol w:w="6"/>
              <w:gridCol w:w="6"/>
              <w:gridCol w:w="6"/>
              <w:gridCol w:w="6"/>
              <w:gridCol w:w="315"/>
              <w:gridCol w:w="405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Standard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35,0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Minute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incluse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în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Preţul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minutelor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supra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0,084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Econom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**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25,0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Minute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incluse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în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Preţul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minutelor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supra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0,169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Înlesniri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25,0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Minute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incluse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în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Preţul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minutelor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supra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0,169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04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Tarifele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pentru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agenţii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economici</w:t>
                  </w:r>
                  <w:proofErr w:type="spellEnd"/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15"/>
              <w:gridCol w:w="315"/>
              <w:gridCol w:w="340"/>
              <w:gridCol w:w="315"/>
              <w:gridCol w:w="315"/>
              <w:gridCol w:w="6"/>
              <w:gridCol w:w="6"/>
              <w:gridCol w:w="6"/>
              <w:gridCol w:w="6"/>
              <w:gridCol w:w="315"/>
              <w:gridCol w:w="405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Standard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35,0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Minute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incluse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în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Preţul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minutelor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supra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0,084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Econom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25,0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Minute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incluse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în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Preţul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minutelor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supra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0,169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15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Tarifele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pentru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instituţiile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bugetare</w:t>
                  </w:r>
                  <w:proofErr w:type="spellEnd"/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15"/>
              <w:gridCol w:w="315"/>
              <w:gridCol w:w="340"/>
              <w:gridCol w:w="315"/>
              <w:gridCol w:w="315"/>
              <w:gridCol w:w="6"/>
              <w:gridCol w:w="6"/>
              <w:gridCol w:w="6"/>
              <w:gridCol w:w="6"/>
              <w:gridCol w:w="315"/>
              <w:gridCol w:w="405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Standard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35,0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Minute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incluse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în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Preţul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minutelor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supra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0,084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Econom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25,0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lastRenderedPageBreak/>
                    <w:t>Minute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incluse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în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abonament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Preţul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minutelor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supra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abonament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0,169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070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TARIFELE PENTRU SERVICIILE TELEFONICE INTERURBANE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30"/>
              <w:gridCol w:w="315"/>
              <w:gridCol w:w="315"/>
              <w:gridCol w:w="315"/>
              <w:gridCol w:w="225"/>
              <w:gridCol w:w="45"/>
              <w:gridCol w:w="45"/>
              <w:gridCol w:w="45"/>
              <w:gridCol w:w="45"/>
              <w:gridCol w:w="315"/>
              <w:gridCol w:w="350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</w:rPr>
                    <w:t>0,35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0,55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</w:rPr>
                    <w:t>0,35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70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TARIFELE PENTRU SERVICIILE TELEFONICE INTERNAŢIONALE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p w:rsidR="006903F0" w:rsidRPr="006903F0" w:rsidRDefault="006903F0" w:rsidP="006903F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10"/>
              <w:gridCol w:w="405"/>
              <w:gridCol w:w="340"/>
              <w:gridCol w:w="315"/>
              <w:gridCol w:w="315"/>
              <w:gridCol w:w="6"/>
              <w:gridCol w:w="6"/>
              <w:gridCol w:w="6"/>
              <w:gridCol w:w="6"/>
              <w:gridCol w:w="225"/>
              <w:gridCol w:w="225"/>
            </w:tblGrid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EUROPA***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7,08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AMERICA CENTRALĂ ŞI DE SUD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14,16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CANADA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11,66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SUA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14,16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ISRAEL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18,33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RUSIA (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partea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europeana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4,41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4,4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5,3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4,4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4,4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ROM</w:t>
                  </w:r>
                  <w:proofErr w:type="gram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В</w:t>
                  </w:r>
                  <w:proofErr w:type="gram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UCRAINA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CSI (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mediu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7,00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5,75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4,6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4,6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ASIA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18,33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AFRICA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20,83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AUSTRALIA SI OCEANIA****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Populaţie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lei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18,33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6903F0" w:rsidRPr="00690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    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Agenţi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economici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şi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instituţii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bugetare</w:t>
                  </w:r>
                  <w:proofErr w:type="spellEnd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, lei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lipsa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03F0" w:rsidRPr="006903F0" w:rsidRDefault="006903F0" w:rsidP="00690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03F0">
                    <w:rPr>
                      <w:rFonts w:ascii="Times New Roman CE" w:eastAsia="Times New Roman" w:hAnsi="Times New Roman CE" w:cs="Times New Roman CE"/>
                      <w:color w:val="000000"/>
                      <w:sz w:val="18"/>
                      <w:szCs w:val="18"/>
                      <w:lang w:val="en-US"/>
                    </w:rPr>
                    <w:t>6,5</w:t>
                  </w:r>
                </w:p>
              </w:tc>
            </w:tr>
          </w:tbl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Remarcă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: 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1)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sînt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indicate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fără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TVA.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2) *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Orele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vîrf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8-00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22-00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zilele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lucrătoare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. Ore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intensitate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redusă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orele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22-00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8-00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zilele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odihnă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sărbători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legale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3) **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localităţile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rurale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unde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este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posibilă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taxarea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apelurilor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locale,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aplicat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abonamentul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Econom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corespunzător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categoriei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abonaţi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  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4)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linia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telefonică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cuplată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achita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80% din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abonamentul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solicitat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linia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telefonică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paralelă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seară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achita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50% din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abonamentul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solicitat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5)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Abonaţilor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invalizi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război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persoanele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asimilate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persoanele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rîndul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militarilor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deveniţi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invalizi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urma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morbidităţii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sau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traumării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perioada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exercitării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serviciului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militar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lastRenderedPageBreak/>
              <w:t>dispun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documente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abonamentul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solicitat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reduce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următoarele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mărimi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: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-  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invalizii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gradul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                 50%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-  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invalizii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gradul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II                25%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-  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invalizii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gradul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III               10%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6)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Agenţi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Economici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Instituţii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Bugetare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postul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telefon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paralel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achita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10% din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abonamentul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solicitat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7)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Convorbirile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începute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într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-o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tranşă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orară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terminate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tranşă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orară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taxează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conform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tranşa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orară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care s-au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început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  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8)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dreptul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schimba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abonamentele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doar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după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trei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luni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momentul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obţinerii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abonamentului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curent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  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9)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serviciile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internaţionale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reprezintă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plafonul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maxim.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10) ***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sînt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indicate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ţările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Uniunii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Europene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11) ****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Începînd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prima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etapă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rebalansării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- cu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excepţia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Australiei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Noii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Zeelande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12) Zone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internaţionale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: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Zona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 -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Ucraina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Rom"nia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Zona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II -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Rusia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Belarus,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Uniunea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Europeană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, Canada, SUA  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Zona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III -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Europa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Centrală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Israel, CSI, Australia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Noua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Zeelandă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Zona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IV - Asia, Africa, America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Centrală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Sud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, Oceania  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Zona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V -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Zonă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rezervă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13)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Ţările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anumite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zone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geografice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cad sub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incidenţa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condiţiilor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ratele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terminale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tranzit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) ale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zone,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putea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atribuite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aceste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zone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14)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ţările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destinaţie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cu care, eventual, nu se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cădea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acord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privind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reducerea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ratelor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terminale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tranzit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, s-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putea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aplica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speciale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altele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decît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indicate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mai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sus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Această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condiţie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referă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spre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reţelele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operatorilor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telefonie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celulară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mobilă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ţările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destinaţie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dacă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aplică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rate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terminale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ridicate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aceste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direcţii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15) Data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începerii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etapelor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3 de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rebalansare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cît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mărimea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stabili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după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analiză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rezultatelor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etapelor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precedente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.</w:t>
            </w:r>
          </w:p>
          <w:p w:rsidR="006903F0" w:rsidRPr="006903F0" w:rsidRDefault="006903F0" w:rsidP="006903F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6903F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>[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>Anexa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>modificată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03F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>prin</w:t>
            </w:r>
            <w:proofErr w:type="spellEnd"/>
            <w:r w:rsidRPr="006903F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 xml:space="preserve"> HANRTI 09/2 din 31.03.04, MO56-60/09.04.04 art.144]</w:t>
            </w:r>
          </w:p>
        </w:tc>
      </w:tr>
      <w:tr w:rsidR="00A210F2" w:rsidRPr="00A210F2" w:rsidTr="00A210F2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HANRTIM12/1/2002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Внутренний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 285336 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instrText xml:space="preserve"> HYPERLINK "http://lex.justice.md/viewdoc.php?action=view&amp;view=doc&amp;id=285336&amp;lang=1" </w:instrTex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A210F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Varianta în limba de stat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210F2" w:rsidRPr="00A210F2" w:rsidRDefault="00A210F2" w:rsidP="00A21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"http://lex.justice.md/index.php?action=view&amp;view=doc&amp;lang=2&amp;id=285336" </w:instrTex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A210F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Карточка документа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10F2" w:rsidRPr="00A210F2" w:rsidTr="00A210F2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A210F2" w:rsidRPr="00A210F2" w:rsidRDefault="00A210F2" w:rsidP="00A21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5" name="Рисунок 5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Республика Молдова</w:t>
            </w:r>
          </w:p>
        </w:tc>
      </w:tr>
      <w:tr w:rsidR="00A210F2" w:rsidRPr="00A210F2" w:rsidTr="00A210F2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A210F2" w:rsidRPr="00A210F2" w:rsidRDefault="00A210F2" w:rsidP="00A21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АГЕНСТВО ПО РЕГЛЕМЕНТИРОВАНИЮ В ОБЛАСТИ ЭЛЕКТРОСВЯЗИ И ИНФОРМАТИКИ</w:t>
            </w:r>
          </w:p>
        </w:tc>
      </w:tr>
      <w:tr w:rsidR="00A210F2" w:rsidRPr="00A210F2" w:rsidTr="00A210F2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A210F2" w:rsidRPr="00A210F2" w:rsidRDefault="00A210F2" w:rsidP="00A21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ПОСТАНОВЛЕНИЕ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12/1 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  26.12.2002 </w:t>
            </w:r>
          </w:p>
        </w:tc>
      </w:tr>
      <w:tr w:rsidR="00A210F2" w:rsidRPr="00A210F2" w:rsidTr="00A210F2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A210F2" w:rsidRPr="00A210F2" w:rsidRDefault="00A210F2" w:rsidP="00A21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 утверждении Плана </w:t>
            </w:r>
            <w:proofErr w:type="spellStart"/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ребалансировки</w:t>
            </w:r>
            <w:proofErr w:type="spellEnd"/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тарифов на основные </w:t>
            </w:r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публичные услуги электросвязи оператора с доминирующим </w:t>
            </w:r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положением на рынке этих услуг АО "</w:t>
            </w:r>
            <w:proofErr w:type="spellStart"/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Молдтелеком</w:t>
            </w:r>
            <w:proofErr w:type="spellEnd"/>
            <w:r w:rsidRPr="00A2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</w:p>
        </w:tc>
      </w:tr>
      <w:tr w:rsidR="00A210F2" w:rsidRPr="00A210F2" w:rsidTr="00A210F2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Опубликован</w:t>
            </w:r>
            <w:proofErr w:type="gramStart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15.01.2003 в </w:t>
            </w:r>
            <w:proofErr w:type="spellStart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1-2     статья № : 1     Дата вступления в силу : 15.01.2003 </w:t>
            </w:r>
          </w:p>
        </w:tc>
      </w:tr>
      <w:tr w:rsidR="00A210F2" w:rsidRPr="00A210F2" w:rsidTr="00A210F2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FF0000"/>
                <w:sz w:val="24"/>
                <w:szCs w:val="24"/>
              </w:rPr>
              <w:t>ИЗМЕНЕНО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A210F2">
                <w:rPr>
                  <w:rFonts w:ascii="Times New Roman CE" w:eastAsia="Times New Roman" w:hAnsi="Times New Roman" w:cs="Times New Roman CE" w:hint="cs"/>
                  <w:color w:val="0000FF"/>
                  <w:sz w:val="24"/>
                  <w:szCs w:val="24"/>
                  <w:u w:val="single"/>
                </w:rPr>
                <w:t>НАРОЭИ</w:t>
              </w:r>
              <w:r w:rsidRPr="00A210F2">
                <w:rPr>
                  <w:rFonts w:ascii="Times New Roman CE" w:eastAsia="Times New Roman" w:hAnsi="Times New Roman" w:cs="Times New Roman CE" w:hint="cs"/>
                  <w:color w:val="0000FF"/>
                  <w:sz w:val="24"/>
                  <w:szCs w:val="24"/>
                  <w:u w:val="single"/>
                </w:rPr>
                <w:t xml:space="preserve">09/2 </w:t>
              </w:r>
              <w:r w:rsidRPr="00A210F2">
                <w:rPr>
                  <w:rFonts w:ascii="Times New Roman CE" w:eastAsia="Times New Roman" w:hAnsi="Times New Roman" w:cs="Times New Roman CE" w:hint="cs"/>
                  <w:color w:val="0000FF"/>
                  <w:sz w:val="24"/>
                  <w:szCs w:val="24"/>
                  <w:u w:val="single"/>
                </w:rPr>
                <w:t>от</w:t>
              </w:r>
              <w:r w:rsidRPr="00A210F2">
                <w:rPr>
                  <w:rFonts w:ascii="Times New Roman CE" w:eastAsia="Times New Roman" w:hAnsi="Times New Roman" w:cs="Times New Roman CE" w:hint="cs"/>
                  <w:color w:val="0000FF"/>
                  <w:sz w:val="24"/>
                  <w:szCs w:val="24"/>
                  <w:u w:val="single"/>
                </w:rPr>
                <w:t xml:space="preserve"> 31.03.04, MO56-60/09.04.04 </w:t>
              </w:r>
              <w:r w:rsidRPr="00A210F2">
                <w:rPr>
                  <w:rFonts w:ascii="Times New Roman CE" w:eastAsia="Times New Roman" w:hAnsi="Times New Roman" w:cs="Times New Roman CE" w:hint="cs"/>
                  <w:color w:val="0000FF"/>
                  <w:sz w:val="24"/>
                  <w:szCs w:val="24"/>
                  <w:u w:val="single"/>
                </w:rPr>
                <w:t>ст</w:t>
              </w:r>
              <w:r w:rsidRPr="00A210F2">
                <w:rPr>
                  <w:rFonts w:ascii="Times New Roman CE" w:eastAsia="Times New Roman" w:hAnsi="Times New Roman" w:cs="Times New Roman CE" w:hint="cs"/>
                  <w:color w:val="0000FF"/>
                  <w:sz w:val="24"/>
                  <w:szCs w:val="24"/>
                  <w:u w:val="single"/>
                </w:rPr>
                <w:t>.144</w:t>
              </w:r>
            </w:hyperlink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A210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Поправка MO11-13 от 31.01.2003 стр.57</w:t>
              </w:r>
            </w:hyperlink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Согласно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предложению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</w:t>
            </w:r>
            <w:proofErr w:type="gram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"</w:t>
            </w:r>
            <w:proofErr w:type="spellStart"/>
            <w:proofErr w:type="gram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Молдтелеком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"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утверждению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плана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ребалансировки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основные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публичные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услуги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локальной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междугородной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международной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телефонной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связи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проанализировав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аргументы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расчеты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Молдтелеком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"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необходимости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приведения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соответствие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себестоимостью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предоставленных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услуг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принимая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внимание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необходимость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подготовки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полной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либерализации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рынка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электросвязи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Республики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Молдова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предусмотренной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c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1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января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2004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года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констатируя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предоставленные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расчеты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обоснованными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основании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.</w:t>
            </w:r>
            <w:proofErr w:type="gram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9 (1)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буква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d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22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Закона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об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электросвязи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№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520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07.07.1995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г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последующими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изменениями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дополнениями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также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основании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Положения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тарифах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публичные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услуги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электросвязи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информатики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утвержденного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Постановлением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Правительства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Республики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Молдова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№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323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18.03.2002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г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Административный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совет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Национального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агентства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регламентированию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области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электросвязи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информатики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ПОСТАНОВЛЯЕТ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:</w:t>
            </w:r>
            <w:proofErr w:type="gramEnd"/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1.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Утвердить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План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ребалансировки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основные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публичные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услуги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электросвязи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оператора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доминирующим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положением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рынке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этих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услуг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</w:t>
            </w:r>
            <w:proofErr w:type="gram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"</w:t>
            </w:r>
            <w:proofErr w:type="spellStart"/>
            <w:proofErr w:type="gram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Молдтелеком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" (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прилагается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).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2.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</w:t>
            </w:r>
            <w:proofErr w:type="gram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"</w:t>
            </w:r>
            <w:proofErr w:type="spellStart"/>
            <w:proofErr w:type="gram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Молдтелеком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"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опубликовать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утвержденные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настоящим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постановлением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минимум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15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дней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начала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применения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.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3.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Настоящее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постановление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вступает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силу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дня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опубликования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.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br/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Председатель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Административного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Совета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Национального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агентства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регламентированию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области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электросвязи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</w:p>
          <w:p w:rsidR="00A210F2" w:rsidRPr="00A210F2" w:rsidRDefault="00A210F2" w:rsidP="00A210F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информатики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Юрие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Тэбырцэ</w:t>
            </w:r>
            <w:proofErr w:type="spellEnd"/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Кишинэу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26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декабря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2002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г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.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№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12/1.</w:t>
            </w:r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Приложение</w:t>
            </w:r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Постановлению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аминистративного</w:t>
            </w:r>
            <w:proofErr w:type="spellEnd"/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совета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Национального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агентства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</w:t>
            </w:r>
            <w:proofErr w:type="gramEnd"/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Регламентированию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области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элек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-</w:t>
            </w:r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тросвязи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информатики</w:t>
            </w:r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№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12/1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26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декабря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2002</w:t>
            </w:r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План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ребалансировки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тарифов</w:t>
            </w:r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основные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публичные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услуги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электросвязи</w:t>
            </w:r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оператора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с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доминирующим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положением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рынке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br/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этих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услуг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АО</w:t>
            </w:r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Молдтелеком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b/>
                <w:bCs/>
                <w:color w:val="000000"/>
                <w:sz w:val="24"/>
                <w:szCs w:val="24"/>
              </w:rPr>
              <w:t>"</w:t>
            </w:r>
          </w:p>
          <w:p w:rsidR="00A210F2" w:rsidRPr="00A210F2" w:rsidRDefault="00A210F2" w:rsidP="00A210F2">
            <w:pPr>
              <w:spacing w:after="0" w:line="240" w:lineRule="auto"/>
              <w:rPr>
                <w:rFonts w:ascii="Times New Roman CE" w:eastAsia="Times New Roman" w:hAnsi="Times New Roman" w:cs="Times New Roman CE"/>
                <w:color w:val="000000"/>
                <w:sz w:val="24"/>
                <w:szCs w:val="24"/>
              </w:rPr>
            </w:pPr>
          </w:p>
          <w:tbl>
            <w:tblPr>
              <w:tblW w:w="883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316"/>
              <w:gridCol w:w="656"/>
              <w:gridCol w:w="734"/>
              <w:gridCol w:w="726"/>
              <w:gridCol w:w="824"/>
              <w:gridCol w:w="529"/>
              <w:gridCol w:w="664"/>
              <w:gridCol w:w="529"/>
              <w:gridCol w:w="664"/>
              <w:gridCol w:w="529"/>
              <w:gridCol w:w="664"/>
            </w:tblGrid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Действующий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тариф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I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этап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/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01.02.2003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II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этап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III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этап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IV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этап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часов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часов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часов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часов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часов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пик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gridSpan w:val="11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ТАРИФЫ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ЛОКАЛЬНЫЕ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ТЕЛЕФОННЫЕ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УСЛУГИ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gridSpan w:val="11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Тарифы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для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: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Standard</w:t>
                  </w:r>
                  <w:proofErr w:type="spellEnd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35,0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включенные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Цена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сверх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пакета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0,084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Econom</w:t>
                  </w:r>
                  <w:proofErr w:type="spellEnd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**,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25,0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включенные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Цена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сверх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пакета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0,169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</w:t>
                  </w:r>
                  <w:proofErr w:type="gramEnd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nlesniri</w:t>
                  </w:r>
                  <w:proofErr w:type="spellEnd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25,0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включенные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Цена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сверх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пакета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0,169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gridSpan w:val="11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Тарифы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для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экономических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агентов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Standard</w:t>
                  </w:r>
                  <w:proofErr w:type="spellEnd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35,0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включенные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Цена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сверх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пакета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0,084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Econom</w:t>
                  </w:r>
                  <w:proofErr w:type="spellEnd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25,0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включенные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Цена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сверх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пакета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0,169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gridSpan w:val="11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Тарифы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для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бюджетных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организаций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Standard</w:t>
                  </w:r>
                  <w:proofErr w:type="spellEnd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35,0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включенные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Цена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сверх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пакета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0,084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Econom</w:t>
                  </w:r>
                  <w:proofErr w:type="spellEnd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25,0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включенные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в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абонемент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450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Цена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минут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сверх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пакета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0,169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gridSpan w:val="11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ТАРИФЫ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МЕЖДУГОРОДНИЕ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ТЕЛЕФОННЫЕ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ПЕРЕГОВОРЫ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0,35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0,35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gridSpan w:val="11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ТАРИФЫ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МЕЖДУНАРОДНЫЕ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ТЕЛЕФОННЫЕ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ПЕРЕГОВОРЫ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ЕВРОПА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***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7,08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ЦЕНТРАЛЬНАЯ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ЮЖНАЯ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АМЕРИКА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14,16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КАНАДА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11,66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США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14,16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ИЗРАИЛЬ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18,33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РОССИЯ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(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европейская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часть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lastRenderedPageBreak/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4,41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3,67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5,3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РУМЫНИЯ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2,67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2,67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2,67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УКРАИНА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СНГ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(</w:t>
                  </w:r>
                  <w:proofErr w:type="gramStart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средний</w:t>
                  </w:r>
                  <w:proofErr w:type="gramEnd"/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7,00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5,75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4,6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АЗИЯ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18,33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АФРИКА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20,83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АВСТРАЛИЯ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ОКЕАНИЯ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Население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18,33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  <w:tr w:rsidR="00A210F2" w:rsidRPr="00A210F2" w:rsidTr="00A210F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  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Экономические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агенты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бюджетные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организации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лей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Не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сущ</w:t>
                  </w: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0F2" w:rsidRPr="00A210F2" w:rsidRDefault="00A210F2" w:rsidP="00A21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210F2">
                    <w:rPr>
                      <w:rFonts w:ascii="Times New Roman CE" w:eastAsia="Times New Roman" w:hAnsi="Times New Roman" w:cs="Times New Roman CE" w:hint="cs"/>
                      <w:color w:val="000000"/>
                      <w:sz w:val="18"/>
                      <w:szCs w:val="18"/>
                    </w:rPr>
                    <w:t>6,5</w:t>
                  </w:r>
                </w:p>
              </w:tc>
            </w:tr>
          </w:tbl>
          <w:p w:rsidR="00A210F2" w:rsidRPr="00A210F2" w:rsidRDefault="00A210F2" w:rsidP="00A210F2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Примечание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: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  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1)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указаны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без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НДС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2) *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Часы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пик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: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между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8-00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22-00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рабочие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дни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Вне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часов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пик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: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между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22-00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8-00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выходные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дни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дни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официальных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праздников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.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3) **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сельской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местности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где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таксация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локальных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переговоров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невозможна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будет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применяться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абонемент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Econom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соответственно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категориям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абонентов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4)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Абоненты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спаренной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телефонной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линией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будут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оплачивать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80%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выбранного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абонемента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Абоненты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параллельной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или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вечерней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телефонной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линией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будут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оплачивать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50%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выбранного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абонемента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.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5)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Для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абоненов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которые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являются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инвалидами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войны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приравненных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ним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лиц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, (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военные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которые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стали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инвалидами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впоследствии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заболеваемости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или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полученных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травм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период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исполнения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служебного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долга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имеют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соответствующие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документы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выбранный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абонемент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снижается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следующих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пропорциях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: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-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для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инвалидов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I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группы               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50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процентов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-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для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инвалидов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II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группы                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25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процентов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-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для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инвалидов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III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группы                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10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процентов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FF"/>
                <w:sz w:val="24"/>
                <w:szCs w:val="24"/>
              </w:rPr>
              <w:t>[</w:t>
            </w:r>
            <w:r w:rsidRPr="00A210F2">
              <w:rPr>
                <w:rFonts w:ascii="Times New Roman CE" w:eastAsia="Times New Roman" w:hAnsi="Times New Roman" w:cs="Times New Roman CE" w:hint="cs"/>
                <w:color w:val="0000FF"/>
                <w:sz w:val="24"/>
                <w:szCs w:val="24"/>
              </w:rPr>
              <w:t>Пкт</w:t>
            </w:r>
            <w:r w:rsidRPr="00A210F2">
              <w:rPr>
                <w:rFonts w:ascii="Times New Roman CE" w:eastAsia="Times New Roman" w:hAnsi="Times New Roman" w:cs="Times New Roman CE" w:hint="cs"/>
                <w:color w:val="0000FF"/>
                <w:sz w:val="24"/>
                <w:szCs w:val="24"/>
              </w:rPr>
              <w:t xml:space="preserve">.5 </w:t>
            </w:r>
            <w:proofErr w:type="gramStart"/>
            <w:r w:rsidRPr="00A210F2">
              <w:rPr>
                <w:rFonts w:ascii="Times New Roman CE" w:eastAsia="Times New Roman" w:hAnsi="Times New Roman" w:cs="Times New Roman CE" w:hint="cs"/>
                <w:color w:val="0000FF"/>
                <w:sz w:val="24"/>
                <w:szCs w:val="24"/>
              </w:rPr>
              <w:t>изменён</w:t>
            </w:r>
            <w:proofErr w:type="gramEnd"/>
            <w:r w:rsidRPr="00A210F2">
              <w:rPr>
                <w:rFonts w:ascii="Times New Roman CE" w:eastAsia="Times New Roman" w:hAnsi="Times New Roman" w:cs="Times New Roman CE" w:hint="cs"/>
                <w:color w:val="0000FF"/>
                <w:sz w:val="24"/>
                <w:szCs w:val="24"/>
              </w:rPr>
              <w:t xml:space="preserve"> </w:t>
            </w:r>
            <w:r w:rsidRPr="00A210F2"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Поправкой MO11-13 от 31.01.2003 стр.57</w:t>
            </w:r>
            <w:r w:rsidRPr="00A210F2">
              <w:rPr>
                <w:rFonts w:ascii="Times New Roman CE" w:eastAsia="Times New Roman" w:hAnsi="Times New Roman" w:cs="Times New Roman CE" w:hint="cs"/>
                <w:color w:val="0000FF"/>
                <w:sz w:val="24"/>
                <w:szCs w:val="24"/>
              </w:rPr>
              <w:t>]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6)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Абоненты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(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экономические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агенты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бюджетные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организации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параллельной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телефонной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линией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будут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оплачивать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10%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выбранного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абонемента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7)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Разговоры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начатые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одном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временном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интервале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заканчиваемые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другом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временном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интервале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будут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таксироваться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согласно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тарифу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для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временного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интервала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котором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состоялось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соединение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8)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Абоненты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имеют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право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замену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абонемента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истечении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трех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месяцев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момента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получения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текущего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абонемента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9)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Для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международных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услуг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являются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максимальными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.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10) ***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представлены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для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стран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Европейского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Союза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.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lastRenderedPageBreak/>
              <w:t xml:space="preserve">11) ****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Начиная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первого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этапа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ребалансировки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-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исключением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Австралии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Новой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Зеландии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12)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Международные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: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I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-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Украина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Румыния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II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-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Россия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Беларусь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Европейский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Союз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Канада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США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III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-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Центральная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Европа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Израиль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СНГ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Австралия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Новая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Зеландия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IV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-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Азия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Африка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Центральная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Южная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Америка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Океания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V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-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резервная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13)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Страны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из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определенных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географических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соответствующие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тарифным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условиям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(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оконечных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транзитных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такс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других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могут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быть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приравнены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этим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тарифным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зонам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14)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Для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стран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назначения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которыми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удастся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найти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соглашение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снижению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оконечных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транзитных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такс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могут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применяться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специальные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отличные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от</w:t>
            </w:r>
            <w:proofErr w:type="gram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выше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представленных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Это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условие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относится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тарифам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звонки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сетям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операторов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мобильной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телефонной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связи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стран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назначения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если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для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этих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направлений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применяются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высокие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оконечные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таксы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. </w:t>
            </w:r>
          </w:p>
          <w:p w:rsidR="00A210F2" w:rsidRPr="00A210F2" w:rsidRDefault="00A210F2" w:rsidP="00A21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15)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Начало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второго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третьего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этапов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ребалансировки</w:t>
            </w:r>
            <w:proofErr w:type="spellEnd"/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как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и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значения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тарифов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,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будут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установлены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после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анализа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результатов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предыдущих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 xml:space="preserve"> 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этапов</w:t>
            </w:r>
            <w:r w:rsidRPr="00A210F2">
              <w:rPr>
                <w:rFonts w:ascii="Times New Roman CE" w:eastAsia="Times New Roman" w:hAnsi="Times New Roman" w:cs="Times New Roman CE" w:hint="cs"/>
                <w:color w:val="000000"/>
                <w:sz w:val="24"/>
                <w:szCs w:val="24"/>
              </w:rPr>
              <w:t>.</w:t>
            </w:r>
          </w:p>
        </w:tc>
      </w:tr>
    </w:tbl>
    <w:p w:rsidR="00EF2C9C" w:rsidRPr="00A210F2" w:rsidRDefault="00EF2C9C"/>
    <w:sectPr w:rsidR="00EF2C9C" w:rsidRPr="00A21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E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03F0"/>
    <w:rsid w:val="006903F0"/>
    <w:rsid w:val="00A210F2"/>
    <w:rsid w:val="00EF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3F0"/>
    <w:rPr>
      <w:color w:val="0000FF"/>
      <w:u w:val="single"/>
    </w:rPr>
  </w:style>
  <w:style w:type="character" w:styleId="a4">
    <w:name w:val="Strong"/>
    <w:basedOn w:val="a0"/>
    <w:uiPriority w:val="22"/>
    <w:qFormat/>
    <w:rsid w:val="006903F0"/>
    <w:rPr>
      <w:b/>
      <w:bCs/>
    </w:rPr>
  </w:style>
  <w:style w:type="character" w:customStyle="1" w:styleId="docheader">
    <w:name w:val="doc_header"/>
    <w:basedOn w:val="a0"/>
    <w:rsid w:val="006903F0"/>
  </w:style>
  <w:style w:type="character" w:customStyle="1" w:styleId="docsign1">
    <w:name w:val="doc_sign1"/>
    <w:basedOn w:val="a0"/>
    <w:rsid w:val="006903F0"/>
  </w:style>
  <w:style w:type="paragraph" w:styleId="a5">
    <w:name w:val="Balloon Text"/>
    <w:basedOn w:val="a"/>
    <w:link w:val="a6"/>
    <w:uiPriority w:val="99"/>
    <w:semiHidden/>
    <w:unhideWhenUsed/>
    <w:rsid w:val="0069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3F0"/>
    <w:rPr>
      <w:rFonts w:ascii="Tahoma" w:hAnsi="Tahoma" w:cs="Tahoma"/>
      <w:sz w:val="16"/>
      <w:szCs w:val="16"/>
    </w:rPr>
  </w:style>
  <w:style w:type="character" w:customStyle="1" w:styleId="docblue">
    <w:name w:val="doc_blue"/>
    <w:basedOn w:val="a0"/>
    <w:rsid w:val="00A210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lex.justice.md/document_rom.php?id=9E8229C0:898B169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lex.justice.md/viewdoc.php?action=view&amp;view=doc&amp;id=285336&amp;lang=1" TargetMode="External"/><Relationship Id="rId10" Type="http://schemas.openxmlformats.org/officeDocument/2006/relationships/hyperlink" Target="http://lex.justice.md/ru/336634/" TargetMode="External"/><Relationship Id="rId4" Type="http://schemas.openxmlformats.org/officeDocument/2006/relationships/hyperlink" Target="http://lex.justice.md/viewdoc.php?action=view&amp;view=doc&amp;id=285336&amp;lang=2" TargetMode="External"/><Relationship Id="rId9" Type="http://schemas.openxmlformats.org/officeDocument/2006/relationships/hyperlink" Target="http://lex.justice.md/ru/2913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2643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AMAC</Company>
  <LinksUpToDate>false</LinksUpToDate>
  <CharactersWithSpaces>17679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2</cp:revision>
  <dcterms:created xsi:type="dcterms:W3CDTF">2012-03-16T13:12:00Z</dcterms:created>
  <dcterms:modified xsi:type="dcterms:W3CDTF">2012-03-16T13:12:00Z</dcterms:modified>
</cp:coreProperties>
</file>