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855"/>
        <w:gridCol w:w="1500"/>
      </w:tblGrid>
      <w:tr w:rsidR="00A44D96" w:rsidRPr="00A44D96" w:rsidTr="00A44D9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A44D96" w:rsidRPr="00A44D96" w:rsidRDefault="00A44D96" w:rsidP="00A4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financiare</w:t>
            </w:r>
            <w:proofErr w:type="spellEnd"/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00" w:type="dxa"/>
            <w:vAlign w:val="center"/>
            <w:hideMark/>
          </w:tcPr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2500" cy="9525"/>
                  <wp:effectExtent l="0" t="0" r="0" b="0"/>
                  <wp:docPr id="3" name="Рисунок 3" descr="http://www.statistica.md/img/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atistica.md/img/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4D96" w:rsidRPr="00A44D96" w:rsidRDefault="00A44D96" w:rsidP="00A44D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A44D96" w:rsidRPr="00A44D96" w:rsidTr="00A44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44D96" w:rsidRPr="00A44D96" w:rsidRDefault="00A44D96" w:rsidP="00A44D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A44D96" w:rsidRPr="00A44D96" w:rsidRDefault="00A44D96" w:rsidP="00A44D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A44D96" w:rsidRPr="00A44D96" w:rsidTr="00A44D96">
        <w:trPr>
          <w:tblCellSpacing w:w="0" w:type="dxa"/>
        </w:trPr>
        <w:tc>
          <w:tcPr>
            <w:tcW w:w="0" w:type="auto"/>
            <w:hideMark/>
          </w:tcPr>
          <w:p w:rsidR="00A44D96" w:rsidRPr="00A44D96" w:rsidRDefault="00A44D96" w:rsidP="00A44D9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Unde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pot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găsesc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raportului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anual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găsiţi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rubrica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Infrastructură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Aici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puteţi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găsi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formularul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simplificat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complet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ştiu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cine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raportul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simplificat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cine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complet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Sistemele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ţinere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contabilităţii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stipulate in art. 15 al </w:t>
            </w:r>
            <w:hyperlink r:id="rId6" w:tgtFrame="_blank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Legii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Contabilităţii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nr. 113-XVI din 27.04.2007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Art. 15 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Legii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contabilităţii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prevede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următoarele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 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simplificat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entităţile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care nu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depăşesc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limitele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două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din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următoarele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criterii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perioada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gestiune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precedentă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-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totalul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veniturilor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din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vînzări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15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milioane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lei;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-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totalul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bilanţului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contabil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6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milioane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lei;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-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numărul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mediu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scriptic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personalului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perioada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gestiune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49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persoane</w:t>
            </w:r>
            <w:proofErr w:type="spellEnd"/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entităţile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care nu cad sub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incidenţa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condiţiilor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sus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Indiferent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criteriile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specificate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alin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.(1),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sistemul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partidă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dublă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cu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complete,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obligatoriu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a)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instituţiile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publice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;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b)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entităţile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interes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public;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c)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entităţile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căror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capital social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cota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proprietarului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asociatului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participantului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acţionarului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persoană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juridică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subiect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sectorului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întreprinderilor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mici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mijlocii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depăşeşte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35%, cu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excepţia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organizaţiilor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necomerciale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; 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d)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companiile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fiduciare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; 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e)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entităţile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importatoare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mărfuri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supuse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accizelor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;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f)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organizaţiile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microfinanţare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asociaţiile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economii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împrumut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alte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instituţii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; 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g)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casele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schimb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valutar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lombardurile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;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br/>
              <w:t xml:space="preserve">h)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din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domeniul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jocurilor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noroc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6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Spuneţi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-mi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rog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acesta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care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data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limita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prezentare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anuale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Biroul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stipulaţi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in art. 38 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legii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7" w:tgtFrame="_blank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Legii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Contabilităţii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nr. 113-XVI din 27.04.2007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general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90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zile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următoare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gestiune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concret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fiecare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stabileşte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 xml:space="preserve">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către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instrText xml:space="preserve"> HYPERLINK "http://www.statistica.md/pageview.php?l=ro&amp;idc=23&amp;id=2308" </w:instrTex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organul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teritorial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adresaţi-vă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Direcţia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raionului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municipiului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respectiv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7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prezentat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rapoartele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anuale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entitatea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care are</w:t>
            </w:r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venit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din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vînzări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mai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mic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3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mln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lei</w:t>
            </w:r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plătitoare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TVA?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Sistemele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ţinere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contabilităţii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stipulate in art. 15 al </w:t>
            </w:r>
            <w:hyperlink r:id="rId8" w:tgtFrame="_blank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Legii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Contabilităţii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nr. 113-XVI din 27.04.2007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Contactaţi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organul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teritorial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de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statistică</w:t>
              </w:r>
              <w:proofErr w:type="spellEnd"/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detalii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8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Spuneţi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rog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Birourile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avocaţi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obligate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raportul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Entităţile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care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ţin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contabilitatea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partidă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dublă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obligate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contabilitatea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ţine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partidă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simplă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atunci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entitatea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decide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necesar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-l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sau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nu.</w:t>
            </w:r>
          </w:p>
        </w:tc>
      </w:tr>
    </w:tbl>
    <w:p w:rsidR="00A44D96" w:rsidRDefault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Pr="00A44D96" w:rsidRDefault="00A44D96" w:rsidP="00A44D96">
      <w:pPr>
        <w:rPr>
          <w:lang w:val="en-US"/>
        </w:rPr>
      </w:pPr>
    </w:p>
    <w:p w:rsidR="00A44D96" w:rsidRDefault="00A44D96" w:rsidP="00A44D96">
      <w:pPr>
        <w:rPr>
          <w:lang w:val="en-US"/>
        </w:rPr>
      </w:pPr>
    </w:p>
    <w:p w:rsidR="002A2C16" w:rsidRDefault="00A44D96" w:rsidP="00A44D96">
      <w:pPr>
        <w:tabs>
          <w:tab w:val="left" w:pos="1095"/>
        </w:tabs>
        <w:rPr>
          <w:lang w:val="en-US"/>
        </w:rPr>
      </w:pPr>
      <w:r>
        <w:rPr>
          <w:lang w:val="en-US"/>
        </w:rPr>
        <w:tab/>
      </w:r>
    </w:p>
    <w:p w:rsidR="00A44D96" w:rsidRDefault="00A44D96" w:rsidP="00A44D96">
      <w:pPr>
        <w:tabs>
          <w:tab w:val="left" w:pos="1095"/>
        </w:tabs>
        <w:rPr>
          <w:lang w:val="en-US"/>
        </w:rPr>
      </w:pPr>
    </w:p>
    <w:p w:rsidR="00A44D96" w:rsidRDefault="00A44D96" w:rsidP="00A44D96">
      <w:pPr>
        <w:tabs>
          <w:tab w:val="left" w:pos="1095"/>
        </w:tabs>
        <w:rPr>
          <w:lang w:val="en-US"/>
        </w:rPr>
      </w:pPr>
    </w:p>
    <w:p w:rsidR="00A44D96" w:rsidRDefault="00A44D96" w:rsidP="00A44D96">
      <w:pPr>
        <w:tabs>
          <w:tab w:val="left" w:pos="1095"/>
        </w:tabs>
        <w:rPr>
          <w:lang w:val="en-US"/>
        </w:rPr>
      </w:pPr>
    </w:p>
    <w:p w:rsidR="00A44D96" w:rsidRDefault="00A44D96" w:rsidP="00A44D96">
      <w:pPr>
        <w:tabs>
          <w:tab w:val="left" w:pos="1095"/>
        </w:tabs>
        <w:rPr>
          <w:lang w:val="en-U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855"/>
        <w:gridCol w:w="1500"/>
      </w:tblGrid>
      <w:tr w:rsidR="00A44D96" w:rsidRPr="00A44D96" w:rsidTr="00A44D96">
        <w:trPr>
          <w:tblCellSpacing w:w="0" w:type="dxa"/>
        </w:trPr>
        <w:tc>
          <w:tcPr>
            <w:tcW w:w="4950" w:type="pct"/>
            <w:vAlign w:val="center"/>
            <w:hideMark/>
          </w:tcPr>
          <w:p w:rsidR="00A44D96" w:rsidRPr="00122EF3" w:rsidRDefault="00A44D96" w:rsidP="00A4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tipizate</w:t>
            </w:r>
            <w:proofErr w:type="spellEnd"/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00" w:type="dxa"/>
            <w:vAlign w:val="center"/>
            <w:hideMark/>
          </w:tcPr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2500" cy="9525"/>
                  <wp:effectExtent l="0" t="0" r="0" b="0"/>
                  <wp:docPr id="19" name="Рисунок 19" descr="http://www.statistica.md/img/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tatistica.md/img/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4D96" w:rsidRPr="00A44D96" w:rsidRDefault="00A44D96" w:rsidP="00A44D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A44D96" w:rsidRPr="00A44D96" w:rsidTr="00A44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44D96" w:rsidRPr="00A44D96" w:rsidRDefault="00A44D96" w:rsidP="00A44D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A44D96" w:rsidRPr="00A44D96" w:rsidRDefault="00A44D96" w:rsidP="00A44D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A44D96" w:rsidRPr="00A44D96" w:rsidTr="00A44D96">
        <w:trPr>
          <w:tblCellSpacing w:w="0" w:type="dxa"/>
        </w:trPr>
        <w:tc>
          <w:tcPr>
            <w:tcW w:w="0" w:type="auto"/>
            <w:hideMark/>
          </w:tcPr>
          <w:p w:rsidR="00A44D96" w:rsidRPr="00A44D96" w:rsidRDefault="00A44D96" w:rsidP="00A44D96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Cum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ştim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completate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prezentate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precum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termenul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Întrebarea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are un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răspuns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unic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agenţii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economici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deoarece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depinde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factori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cum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genul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activitate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numărul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salariaţi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cifra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afaceri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includerea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eşantion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etc.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instrText xml:space="preserve"> HYPERLINK "http://www.statistica.md/pageview.php?l=ro&amp;idc=23&amp;id=2308" \t "_blank" </w:instrTex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Organul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teritorial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anunţă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acestora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întreb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posibil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descărcat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pagina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web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disponibile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rubrica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Infrastructură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.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pot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descărcate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stocate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tipărite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adresa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indicată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9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Este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posibil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ca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completarea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faca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direct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site?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momentul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actual</w:t>
            </w:r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 nu</w:t>
            </w:r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posibilă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La moment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testează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portalul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e-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Raportare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intermediul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căruia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posbilă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Deocamdată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puteţi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doar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tipări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completa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manual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30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Am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fost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organul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teritorial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prezint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SERV-TS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luna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februarie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mi s-a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spus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noi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acest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an nu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mai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prezentăm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această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dare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seamă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. Dar nu mi s-a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nici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o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înştiinţare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tipărită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îmi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este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frică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nu ne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amendeze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Cercetările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integrate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scurt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Munca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1, IND TS, CONS TS, SERV TS, 5-CI, 2-INV)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către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care au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fost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incluse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cercetare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fiecare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eşantionul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cercetări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modifică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anunţate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către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organul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teritorial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(OTS)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fost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incluse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statistic.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Daca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OTS nu v-au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informat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înseamnă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curent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-l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31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dori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comand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facturi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expediţie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preţ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sunt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am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nevoie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fiind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persoană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juridică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Facturile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expediţie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eliberează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contra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semnătură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persoanelor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autorizate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conform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statutului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delegaţiei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certificatului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atribuire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codului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fiscal. </w:t>
            </w:r>
          </w:p>
          <w:p w:rsidR="00A44D96" w:rsidRPr="00A44D96" w:rsidRDefault="00A44D96" w:rsidP="00A44D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detalii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contactaţi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Editura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Imprimate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"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" </w:t>
            </w:r>
            <w:hyperlink r:id="rId10" w:history="1"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www.editurastatistica.md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 care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responsabilă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tipărirea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înrergistrarea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păstrarea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evidenţa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eliberarea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tipizate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32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Am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nevoie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casarea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mijloacelor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fixe MF-3, MF-4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MF-4 "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Buget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", MF-6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unde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le-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putea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găsi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sau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procura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Conform</w:t>
            </w:r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11" w:tgtFrame="_blank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Legii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Contabilităţii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nr. 113-XVI din 27.04.2007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tipizate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documente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primare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 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aprobă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ţin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competenţa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Ministerului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Finanţelor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casarea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mijloacelor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fixe le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puteţi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accesa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pagina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revistei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12" w:tgtFrame="_blank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Contabilitate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si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audit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A44D96" w:rsidRPr="00A44D96" w:rsidRDefault="00A44D96" w:rsidP="00A44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33" style="width:0;height:1.5pt" o:hralign="center" o:hrstd="t" o:hr="t" fillcolor="#aca899" stroked="f"/>
              </w:pict>
            </w:r>
          </w:p>
          <w:p w:rsidR="00A44D96" w:rsidRPr="00A44D96" w:rsidRDefault="00A44D96" w:rsidP="00A44D96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Spuneţi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vă</w:t>
            </w:r>
            <w:proofErr w:type="spellEnd"/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rog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unde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pot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găsi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tabelul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pontaj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MR-13?</w:t>
            </w:r>
          </w:p>
          <w:p w:rsidR="00A44D96" w:rsidRPr="00A44D96" w:rsidRDefault="00A44D96" w:rsidP="00A44D96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Din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păcate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versiunea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proofErr w:type="gram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acestui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disponibilă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însă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puteţi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utiliza</w:t>
            </w:r>
            <w:proofErr w:type="spellEnd"/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13" w:tgtFrame="_blank" w:history="1">
              <w:proofErr w:type="spellStart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modelul</w:t>
              </w:r>
              <w:proofErr w:type="spellEnd"/>
              <w:r w:rsidRPr="00A44D9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dat</w:t>
              </w:r>
            </w:hyperlink>
            <w:r w:rsidRPr="00A44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A44D96" w:rsidRPr="00A44D96" w:rsidRDefault="00A44D96" w:rsidP="00A44D96">
      <w:pPr>
        <w:tabs>
          <w:tab w:val="left" w:pos="1095"/>
        </w:tabs>
        <w:rPr>
          <w:lang w:val="en-US"/>
        </w:rPr>
      </w:pPr>
    </w:p>
    <w:sectPr w:rsidR="00A44D96" w:rsidRPr="00A44D96" w:rsidSect="002A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E64"/>
    <w:multiLevelType w:val="multilevel"/>
    <w:tmpl w:val="1310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754DD"/>
    <w:multiLevelType w:val="multilevel"/>
    <w:tmpl w:val="CBA4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82A2A"/>
    <w:multiLevelType w:val="multilevel"/>
    <w:tmpl w:val="927A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874566"/>
    <w:multiLevelType w:val="multilevel"/>
    <w:tmpl w:val="555C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15E59"/>
    <w:multiLevelType w:val="multilevel"/>
    <w:tmpl w:val="D826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40D23"/>
    <w:multiLevelType w:val="multilevel"/>
    <w:tmpl w:val="4794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DF1CCC"/>
    <w:multiLevelType w:val="multilevel"/>
    <w:tmpl w:val="F430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6F766B"/>
    <w:multiLevelType w:val="multilevel"/>
    <w:tmpl w:val="7870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9E6C7B"/>
    <w:multiLevelType w:val="multilevel"/>
    <w:tmpl w:val="11E62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0F029E"/>
    <w:multiLevelType w:val="multilevel"/>
    <w:tmpl w:val="2BC8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404ADB"/>
    <w:multiLevelType w:val="multilevel"/>
    <w:tmpl w:val="D188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5C39BD"/>
    <w:multiLevelType w:val="multilevel"/>
    <w:tmpl w:val="B288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D96"/>
    <w:rsid w:val="00065E77"/>
    <w:rsid w:val="00122EF3"/>
    <w:rsid w:val="0022676D"/>
    <w:rsid w:val="002A2C16"/>
    <w:rsid w:val="00396967"/>
    <w:rsid w:val="003B36A8"/>
    <w:rsid w:val="003B3850"/>
    <w:rsid w:val="004F78F9"/>
    <w:rsid w:val="005951CC"/>
    <w:rsid w:val="005A06F6"/>
    <w:rsid w:val="006307F0"/>
    <w:rsid w:val="0065272A"/>
    <w:rsid w:val="00676253"/>
    <w:rsid w:val="00685F2D"/>
    <w:rsid w:val="006A0204"/>
    <w:rsid w:val="006E2EF9"/>
    <w:rsid w:val="0073310C"/>
    <w:rsid w:val="009E3CBA"/>
    <w:rsid w:val="00A33C8E"/>
    <w:rsid w:val="00A42125"/>
    <w:rsid w:val="00A44D96"/>
    <w:rsid w:val="00AF3DA6"/>
    <w:rsid w:val="00E05B63"/>
    <w:rsid w:val="00E37AE0"/>
    <w:rsid w:val="00F8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4D96"/>
    <w:rPr>
      <w:color w:val="0000FF"/>
      <w:u w:val="single"/>
    </w:rPr>
  </w:style>
  <w:style w:type="character" w:styleId="a4">
    <w:name w:val="Strong"/>
    <w:basedOn w:val="a0"/>
    <w:uiPriority w:val="22"/>
    <w:qFormat/>
    <w:rsid w:val="00A44D96"/>
    <w:rPr>
      <w:b/>
      <w:bCs/>
    </w:rPr>
  </w:style>
  <w:style w:type="character" w:customStyle="1" w:styleId="newscontent">
    <w:name w:val="newscontent"/>
    <w:basedOn w:val="a0"/>
    <w:rsid w:val="00A44D96"/>
  </w:style>
  <w:style w:type="paragraph" w:styleId="a5">
    <w:name w:val="Normal (Web)"/>
    <w:basedOn w:val="a"/>
    <w:uiPriority w:val="99"/>
    <w:unhideWhenUsed/>
    <w:rsid w:val="00A44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44D9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44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882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5365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41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505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91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374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389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2916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689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0404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473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337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index.php?action=view&amp;view=doc&amp;lang=1&amp;id=324098" TargetMode="External"/><Relationship Id="rId13" Type="http://schemas.openxmlformats.org/officeDocument/2006/relationships/hyperlink" Target="http://www.statistica.md/public/files/Formulare_tipizate/Tabel_pontaj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x.justice.md/index.php?action=view&amp;view=doc&amp;lang=1&amp;id=324098" TargetMode="External"/><Relationship Id="rId12" Type="http://schemas.openxmlformats.org/officeDocument/2006/relationships/hyperlink" Target="http://www.contabilitate.md/?mod=page&amp;id=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justice.md/index.php?action=view&amp;view=doc&amp;lang=1&amp;id=324098" TargetMode="External"/><Relationship Id="rId11" Type="http://schemas.openxmlformats.org/officeDocument/2006/relationships/hyperlink" Target="http://lex.justice.md/index.php?action=view&amp;view=doc&amp;lang=1&amp;id=324098" TargetMode="External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hyperlink" Target="http://www.editurastatistica.m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atistica.md/pageview.php?l=ro&amp;idc=23&amp;id=230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1019</Words>
  <Characters>5810</Characters>
  <Application>Microsoft Office Word</Application>
  <DocSecurity>0</DocSecurity>
  <Lines>48</Lines>
  <Paragraphs>13</Paragraphs>
  <ScaleCrop>false</ScaleCrop>
  <Company>RePack by SPecialiST</Company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3</cp:revision>
  <dcterms:created xsi:type="dcterms:W3CDTF">2012-10-11T06:40:00Z</dcterms:created>
  <dcterms:modified xsi:type="dcterms:W3CDTF">2012-10-11T06:42:00Z</dcterms:modified>
</cp:coreProperties>
</file>