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9FA00B" w14:textId="77777777" w:rsidR="000E4B04" w:rsidRPr="002553C7" w:rsidRDefault="000E4B04" w:rsidP="000E4B04">
      <w:pPr>
        <w:spacing w:after="0"/>
        <w:ind w:firstLine="567"/>
        <w:jc w:val="right"/>
        <w:rPr>
          <w:color w:val="000000" w:themeColor="text1"/>
          <w:sz w:val="22"/>
          <w:szCs w:val="18"/>
        </w:rPr>
      </w:pPr>
      <w:r w:rsidRPr="002553C7">
        <w:rPr>
          <w:color w:val="000000" w:themeColor="text1"/>
          <w:sz w:val="24"/>
          <w:szCs w:val="18"/>
        </w:rPr>
        <w:t>Приложение 1</w:t>
      </w:r>
    </w:p>
    <w:p w14:paraId="64CBAD8C" w14:textId="77777777" w:rsidR="000E4B04" w:rsidRPr="002553C7" w:rsidRDefault="000E4B04" w:rsidP="000E4B04">
      <w:pPr>
        <w:spacing w:after="0"/>
        <w:ind w:firstLine="567"/>
        <w:jc w:val="center"/>
        <w:rPr>
          <w:color w:val="000000" w:themeColor="text1"/>
          <w:sz w:val="24"/>
          <w:szCs w:val="20"/>
        </w:rPr>
      </w:pPr>
      <w:r w:rsidRPr="002553C7">
        <w:rPr>
          <w:b/>
          <w:bCs/>
          <w:color w:val="000000" w:themeColor="text1"/>
          <w:sz w:val="24"/>
          <w:szCs w:val="20"/>
        </w:rPr>
        <w:t>Операции по удалению</w:t>
      </w:r>
    </w:p>
    <w:p w14:paraId="74CDAEE5" w14:textId="77777777" w:rsidR="000E4B04" w:rsidRPr="002553C7" w:rsidRDefault="000E4B04" w:rsidP="000E4B04">
      <w:pPr>
        <w:spacing w:after="0"/>
        <w:ind w:firstLine="567"/>
        <w:jc w:val="both"/>
        <w:rPr>
          <w:color w:val="000000" w:themeColor="text1"/>
          <w:sz w:val="24"/>
          <w:szCs w:val="20"/>
        </w:rPr>
      </w:pPr>
      <w:r w:rsidRPr="002553C7">
        <w:rPr>
          <w:color w:val="000000" w:themeColor="text1"/>
          <w:sz w:val="24"/>
          <w:szCs w:val="20"/>
        </w:rPr>
        <w:t>D1 Захоронение в земле или сброс на землю (например, на свалку и т. п.).</w:t>
      </w:r>
    </w:p>
    <w:p w14:paraId="11BB7BA2" w14:textId="77777777" w:rsidR="000E4B04" w:rsidRPr="002553C7" w:rsidRDefault="000E4B04" w:rsidP="000E4B04">
      <w:pPr>
        <w:spacing w:after="0"/>
        <w:ind w:firstLine="567"/>
        <w:jc w:val="both"/>
        <w:rPr>
          <w:color w:val="000000" w:themeColor="text1"/>
          <w:sz w:val="24"/>
          <w:szCs w:val="20"/>
        </w:rPr>
      </w:pPr>
      <w:r w:rsidRPr="002553C7">
        <w:rPr>
          <w:color w:val="000000" w:themeColor="text1"/>
          <w:sz w:val="24"/>
          <w:szCs w:val="20"/>
        </w:rPr>
        <w:t>D2 Обработка почвы (например, биохимическое разложение жидких либо илистых отходов в почве и т. п.).</w:t>
      </w:r>
    </w:p>
    <w:p w14:paraId="6082B3D1" w14:textId="77777777" w:rsidR="000E4B04" w:rsidRPr="002553C7" w:rsidRDefault="000E4B04" w:rsidP="000E4B04">
      <w:pPr>
        <w:spacing w:after="0"/>
        <w:ind w:firstLine="567"/>
        <w:jc w:val="both"/>
        <w:rPr>
          <w:color w:val="000000" w:themeColor="text1"/>
          <w:sz w:val="24"/>
          <w:szCs w:val="20"/>
        </w:rPr>
      </w:pPr>
      <w:r w:rsidRPr="002553C7">
        <w:rPr>
          <w:color w:val="000000" w:themeColor="text1"/>
          <w:sz w:val="24"/>
          <w:szCs w:val="20"/>
        </w:rPr>
        <w:t>D3 Глубинная закачка (например, закачивание отходов в скважины, соляные купола либо естественные природные резервуары и т. п.).</w:t>
      </w:r>
    </w:p>
    <w:p w14:paraId="11393B16" w14:textId="77777777" w:rsidR="000E4B04" w:rsidRPr="002553C7" w:rsidRDefault="000E4B04" w:rsidP="000E4B04">
      <w:pPr>
        <w:spacing w:after="0"/>
        <w:ind w:firstLine="567"/>
        <w:jc w:val="both"/>
        <w:rPr>
          <w:color w:val="000000" w:themeColor="text1"/>
          <w:sz w:val="24"/>
          <w:szCs w:val="20"/>
        </w:rPr>
      </w:pPr>
      <w:r w:rsidRPr="002553C7">
        <w:rPr>
          <w:color w:val="000000" w:themeColor="text1"/>
          <w:sz w:val="24"/>
          <w:szCs w:val="20"/>
        </w:rPr>
        <w:t>D4 Сброс в поверхностные водоемы (например, сброс жидких либо илистых отходов в котлованы, пруды или отстойные бассейны и т. п.).</w:t>
      </w:r>
    </w:p>
    <w:p w14:paraId="5B9C6C85" w14:textId="77777777" w:rsidR="000E4B04" w:rsidRPr="002553C7" w:rsidRDefault="000E4B04" w:rsidP="000E4B04">
      <w:pPr>
        <w:spacing w:after="0"/>
        <w:ind w:firstLine="567"/>
        <w:jc w:val="both"/>
        <w:rPr>
          <w:color w:val="000000" w:themeColor="text1"/>
          <w:sz w:val="24"/>
          <w:szCs w:val="20"/>
        </w:rPr>
      </w:pPr>
      <w:r w:rsidRPr="002553C7">
        <w:rPr>
          <w:color w:val="000000" w:themeColor="text1"/>
          <w:sz w:val="24"/>
          <w:szCs w:val="20"/>
        </w:rPr>
        <w:t>D5 Размещение на специально приспособленных полигонах (например, сброс в отдельные отсеки с прокладкой и поверхностным покрытием, изолирующие отходы друг от друга и окружающей среды, и т. п.).</w:t>
      </w:r>
    </w:p>
    <w:p w14:paraId="1AFC06A1" w14:textId="77777777" w:rsidR="000E4B04" w:rsidRPr="002553C7" w:rsidRDefault="000E4B04" w:rsidP="000E4B04">
      <w:pPr>
        <w:spacing w:after="0"/>
        <w:ind w:firstLine="567"/>
        <w:jc w:val="both"/>
        <w:rPr>
          <w:color w:val="000000" w:themeColor="text1"/>
          <w:sz w:val="24"/>
          <w:szCs w:val="20"/>
        </w:rPr>
      </w:pPr>
      <w:r w:rsidRPr="002553C7">
        <w:rPr>
          <w:color w:val="000000" w:themeColor="text1"/>
          <w:sz w:val="24"/>
          <w:szCs w:val="20"/>
        </w:rPr>
        <w:t>D6 Сброс отходов в водоемы, кроме морей/океанов.</w:t>
      </w:r>
    </w:p>
    <w:p w14:paraId="51971FEF" w14:textId="77777777" w:rsidR="000E4B04" w:rsidRPr="002553C7" w:rsidRDefault="000E4B04" w:rsidP="000E4B04">
      <w:pPr>
        <w:spacing w:after="0"/>
        <w:ind w:firstLine="567"/>
        <w:jc w:val="both"/>
        <w:rPr>
          <w:color w:val="000000" w:themeColor="text1"/>
          <w:sz w:val="24"/>
          <w:szCs w:val="20"/>
        </w:rPr>
      </w:pPr>
      <w:r w:rsidRPr="002553C7">
        <w:rPr>
          <w:color w:val="000000" w:themeColor="text1"/>
          <w:sz w:val="24"/>
          <w:szCs w:val="20"/>
        </w:rPr>
        <w:t>D7 Сброс в моря/океаны, в том числе захоронение на морском дне.</w:t>
      </w:r>
    </w:p>
    <w:p w14:paraId="2DB0FEAC" w14:textId="77777777" w:rsidR="000E4B04" w:rsidRPr="002553C7" w:rsidRDefault="000E4B04" w:rsidP="000E4B04">
      <w:pPr>
        <w:spacing w:after="0"/>
        <w:ind w:firstLine="567"/>
        <w:jc w:val="both"/>
        <w:rPr>
          <w:color w:val="000000" w:themeColor="text1"/>
          <w:sz w:val="24"/>
          <w:szCs w:val="20"/>
        </w:rPr>
      </w:pPr>
      <w:r w:rsidRPr="002553C7">
        <w:rPr>
          <w:color w:val="000000" w:themeColor="text1"/>
          <w:sz w:val="24"/>
          <w:szCs w:val="20"/>
        </w:rPr>
        <w:t>D8 Биологическая обработка, не оговоренная в других позициях настоящего приложения, которая приводит к образованию конечных соединений либо смесей, удаляемых путем осуществления любой из операций под номерами D1–D12.</w:t>
      </w:r>
    </w:p>
    <w:p w14:paraId="7A26E712" w14:textId="77777777" w:rsidR="000E4B04" w:rsidRPr="002553C7" w:rsidRDefault="000E4B04" w:rsidP="000E4B04">
      <w:pPr>
        <w:spacing w:after="0"/>
        <w:ind w:firstLine="567"/>
        <w:jc w:val="both"/>
        <w:rPr>
          <w:color w:val="000000" w:themeColor="text1"/>
          <w:sz w:val="24"/>
          <w:szCs w:val="20"/>
        </w:rPr>
      </w:pPr>
      <w:r w:rsidRPr="002553C7">
        <w:rPr>
          <w:color w:val="000000" w:themeColor="text1"/>
          <w:sz w:val="24"/>
          <w:szCs w:val="20"/>
        </w:rPr>
        <w:t>D9 Физико-химическая обработка, не оговоренная в других позициях настоящего приложения, которая приводит к образованию конечных соединений либо смесей, удаляемых путем одной из операций под номерами D1–D12 (например, выпаривание, сушка, кальцинирование и т. п.).</w:t>
      </w:r>
    </w:p>
    <w:p w14:paraId="417B8E88" w14:textId="77777777" w:rsidR="000E4B04" w:rsidRPr="002553C7" w:rsidRDefault="000E4B04" w:rsidP="000E4B04">
      <w:pPr>
        <w:spacing w:after="0"/>
        <w:ind w:firstLine="567"/>
        <w:jc w:val="both"/>
        <w:rPr>
          <w:color w:val="000000" w:themeColor="text1"/>
          <w:sz w:val="24"/>
          <w:szCs w:val="20"/>
        </w:rPr>
      </w:pPr>
      <w:r w:rsidRPr="002553C7">
        <w:rPr>
          <w:color w:val="000000" w:themeColor="text1"/>
          <w:sz w:val="24"/>
          <w:szCs w:val="20"/>
        </w:rPr>
        <w:t>D10 Сжигание на земле. Выполнение этой операции ограничивается настоящим законом и нормативными актами, утвержденными на его основе Правительством.</w:t>
      </w:r>
    </w:p>
    <w:p w14:paraId="3C17CDF3" w14:textId="77777777" w:rsidR="000E4B04" w:rsidRPr="002553C7" w:rsidRDefault="000E4B04" w:rsidP="000E4B04">
      <w:pPr>
        <w:spacing w:after="0"/>
        <w:ind w:firstLine="567"/>
        <w:jc w:val="both"/>
        <w:rPr>
          <w:color w:val="000000" w:themeColor="text1"/>
          <w:sz w:val="24"/>
          <w:szCs w:val="20"/>
        </w:rPr>
      </w:pPr>
      <w:r w:rsidRPr="002553C7">
        <w:rPr>
          <w:color w:val="000000" w:themeColor="text1"/>
          <w:sz w:val="24"/>
          <w:szCs w:val="20"/>
        </w:rPr>
        <w:t>D11 Сжигание в море. Данная операция запрещена международными актами и конвенциями.</w:t>
      </w:r>
    </w:p>
    <w:p w14:paraId="7844B53F" w14:textId="77777777" w:rsidR="000E4B04" w:rsidRPr="002553C7" w:rsidRDefault="000E4B04" w:rsidP="000E4B04">
      <w:pPr>
        <w:spacing w:after="0"/>
        <w:ind w:firstLine="567"/>
        <w:jc w:val="both"/>
        <w:rPr>
          <w:color w:val="000000" w:themeColor="text1"/>
          <w:sz w:val="24"/>
          <w:szCs w:val="20"/>
        </w:rPr>
      </w:pPr>
      <w:r w:rsidRPr="002553C7">
        <w:rPr>
          <w:color w:val="000000" w:themeColor="text1"/>
          <w:sz w:val="24"/>
          <w:szCs w:val="20"/>
        </w:rPr>
        <w:t>D12 Постоянное хранение (например, в специальных контейнерах в шахте и т. п.).</w:t>
      </w:r>
    </w:p>
    <w:p w14:paraId="7EEA2725" w14:textId="77777777" w:rsidR="000E4B04" w:rsidRPr="002553C7" w:rsidRDefault="000E4B04" w:rsidP="000E4B04">
      <w:pPr>
        <w:spacing w:after="0"/>
        <w:ind w:firstLine="567"/>
        <w:jc w:val="both"/>
        <w:rPr>
          <w:color w:val="000000" w:themeColor="text1"/>
          <w:sz w:val="24"/>
          <w:szCs w:val="20"/>
        </w:rPr>
      </w:pPr>
      <w:r w:rsidRPr="002553C7">
        <w:rPr>
          <w:color w:val="000000" w:themeColor="text1"/>
          <w:sz w:val="24"/>
          <w:szCs w:val="20"/>
        </w:rPr>
        <w:t>D13 Смешивание перед какой-либо из операций под номерами D1–D12. Если необходимая операция не подпадает ни под одну из указанных, то она включает предшествующие удалению операции, в том числе предварительную обработку, а именно: сортировку, дробление, прессование, гранулирование, сушку, сухое измельчение, кондиционирование или разделение перед проведением любой из операций под номерами D1–D12.</w:t>
      </w:r>
    </w:p>
    <w:p w14:paraId="77ECC0FB" w14:textId="77777777" w:rsidR="000E4B04" w:rsidRPr="002553C7" w:rsidRDefault="000E4B04" w:rsidP="000E4B04">
      <w:pPr>
        <w:spacing w:after="0"/>
        <w:ind w:firstLine="567"/>
        <w:jc w:val="both"/>
        <w:rPr>
          <w:color w:val="000000" w:themeColor="text1"/>
          <w:sz w:val="24"/>
          <w:szCs w:val="20"/>
        </w:rPr>
      </w:pPr>
      <w:r w:rsidRPr="002553C7">
        <w:rPr>
          <w:color w:val="000000" w:themeColor="text1"/>
          <w:sz w:val="24"/>
          <w:szCs w:val="20"/>
        </w:rPr>
        <w:t>D14 Переупаковка перед любой из операций под номерами D1–D13.</w:t>
      </w:r>
    </w:p>
    <w:p w14:paraId="50B457D7" w14:textId="77777777" w:rsidR="000E4B04" w:rsidRPr="002553C7" w:rsidRDefault="000E4B04" w:rsidP="000E4B04">
      <w:pPr>
        <w:spacing w:after="0"/>
        <w:ind w:firstLine="567"/>
        <w:jc w:val="both"/>
        <w:rPr>
          <w:i/>
          <w:iCs/>
          <w:color w:val="000000" w:themeColor="text1"/>
          <w:sz w:val="24"/>
          <w:szCs w:val="20"/>
        </w:rPr>
      </w:pPr>
      <w:r w:rsidRPr="002553C7">
        <w:rPr>
          <w:color w:val="000000" w:themeColor="text1"/>
          <w:sz w:val="24"/>
          <w:szCs w:val="20"/>
        </w:rPr>
        <w:t>D15 Хранение в ожидании любой из операций под номерами D1–D14 (за исключением временного складирования на любой промышленной площадке до начала сбора. Временное складирование означает предварительное хранение).</w:t>
      </w:r>
    </w:p>
    <w:p w14:paraId="319ABA48" w14:textId="77777777" w:rsidR="000E4B04" w:rsidRDefault="000E4B04" w:rsidP="000E4B04">
      <w:pPr>
        <w:spacing w:after="0"/>
        <w:ind w:firstLine="567"/>
        <w:jc w:val="both"/>
        <w:rPr>
          <w:i/>
          <w:iCs/>
          <w:color w:val="000000" w:themeColor="text1"/>
          <w:sz w:val="24"/>
          <w:szCs w:val="20"/>
        </w:rPr>
      </w:pPr>
    </w:p>
    <w:p w14:paraId="0BB7F5C8" w14:textId="77777777" w:rsidR="000E4B04" w:rsidRDefault="000E4B04"/>
    <w:sectPr w:rsidR="003A433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B04"/>
    <w:rsid w:val="000E4B04"/>
    <w:rsid w:val="0058181B"/>
    <w:rsid w:val="005C0197"/>
    <w:rsid w:val="006D1F82"/>
    <w:rsid w:val="00B32DE8"/>
    <w:rsid w:val="00DC3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FDB43"/>
  <w15:chartTrackingRefBased/>
  <w15:docId w15:val="{95D07014-1B58-4C82-9AAA-689BB9A6D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4B04"/>
    <w:pPr>
      <w:spacing w:after="160" w:line="240" w:lineRule="auto"/>
    </w:pPr>
    <w:rPr>
      <w:rFonts w:ascii="Times New Roman" w:eastAsia="Times New Roman" w:hAnsi="Times New Roman" w:cs="Times New Roman"/>
      <w:kern w:val="2"/>
      <w:sz w:val="28"/>
    </w:rPr>
  </w:style>
  <w:style w:type="paragraph" w:styleId="1">
    <w:name w:val="heading 1"/>
    <w:basedOn w:val="a"/>
    <w:next w:val="a"/>
    <w:link w:val="10"/>
    <w:uiPriority w:val="9"/>
    <w:qFormat/>
    <w:rsid w:val="000E4B04"/>
    <w:pPr>
      <w:keepNext/>
      <w:keepLines/>
      <w:spacing w:before="360" w:after="80" w:line="276" w:lineRule="auto"/>
      <w:jc w:val="both"/>
      <w:outlineLvl w:val="0"/>
    </w:pPr>
    <w:rPr>
      <w:rFonts w:asciiTheme="majorHAnsi" w:eastAsiaTheme="majorEastAsia" w:hAnsiTheme="majorHAnsi" w:cstheme="majorBidi"/>
      <w:color w:val="365F91" w:themeColor="accent1" w:themeShade="BF"/>
      <w:kern w:val="0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E4B04"/>
    <w:pPr>
      <w:keepNext/>
      <w:keepLines/>
      <w:spacing w:before="160" w:after="80" w:line="276" w:lineRule="auto"/>
      <w:jc w:val="both"/>
      <w:outlineLvl w:val="1"/>
    </w:pPr>
    <w:rPr>
      <w:rFonts w:asciiTheme="majorHAnsi" w:eastAsiaTheme="majorEastAsia" w:hAnsiTheme="majorHAnsi" w:cstheme="majorBidi"/>
      <w:color w:val="365F91" w:themeColor="accent1" w:themeShade="BF"/>
      <w:kern w:val="0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E4B04"/>
    <w:pPr>
      <w:keepNext/>
      <w:keepLines/>
      <w:spacing w:before="160" w:after="80" w:line="276" w:lineRule="auto"/>
      <w:jc w:val="both"/>
      <w:outlineLvl w:val="2"/>
    </w:pPr>
    <w:rPr>
      <w:rFonts w:asciiTheme="minorHAnsi" w:eastAsiaTheme="majorEastAsia" w:hAnsiTheme="minorHAnsi" w:cstheme="majorBidi"/>
      <w:color w:val="365F91" w:themeColor="accent1" w:themeShade="BF"/>
      <w:kern w:val="0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E4B04"/>
    <w:pPr>
      <w:keepNext/>
      <w:keepLines/>
      <w:spacing w:before="80" w:after="40" w:line="276" w:lineRule="auto"/>
      <w:jc w:val="both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  <w:kern w:val="0"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E4B04"/>
    <w:pPr>
      <w:keepNext/>
      <w:keepLines/>
      <w:spacing w:before="80" w:after="40" w:line="276" w:lineRule="auto"/>
      <w:jc w:val="both"/>
      <w:outlineLvl w:val="4"/>
    </w:pPr>
    <w:rPr>
      <w:rFonts w:asciiTheme="minorHAnsi" w:eastAsiaTheme="majorEastAsia" w:hAnsiTheme="minorHAnsi" w:cstheme="majorBidi"/>
      <w:color w:val="365F91" w:themeColor="accent1" w:themeShade="BF"/>
      <w:kern w:val="0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E4B04"/>
    <w:pPr>
      <w:keepNext/>
      <w:keepLines/>
      <w:spacing w:before="40" w:after="0" w:line="276" w:lineRule="auto"/>
      <w:jc w:val="both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0"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E4B04"/>
    <w:pPr>
      <w:keepNext/>
      <w:keepLines/>
      <w:spacing w:before="40" w:after="0" w:line="276" w:lineRule="auto"/>
      <w:jc w:val="both"/>
      <w:outlineLvl w:val="6"/>
    </w:pPr>
    <w:rPr>
      <w:rFonts w:asciiTheme="minorHAnsi" w:eastAsiaTheme="majorEastAsia" w:hAnsiTheme="minorHAnsi" w:cstheme="majorBidi"/>
      <w:color w:val="595959" w:themeColor="text1" w:themeTint="A6"/>
      <w:kern w:val="0"/>
      <w:sz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E4B04"/>
    <w:pPr>
      <w:keepNext/>
      <w:keepLines/>
      <w:spacing w:after="0" w:line="276" w:lineRule="auto"/>
      <w:jc w:val="both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0"/>
      <w:sz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E4B04"/>
    <w:pPr>
      <w:keepNext/>
      <w:keepLines/>
      <w:spacing w:after="0" w:line="276" w:lineRule="auto"/>
      <w:jc w:val="both"/>
      <w:outlineLvl w:val="8"/>
    </w:pPr>
    <w:rPr>
      <w:rFonts w:asciiTheme="minorHAnsi" w:eastAsiaTheme="majorEastAsia" w:hAnsiTheme="minorHAnsi" w:cstheme="majorBidi"/>
      <w:color w:val="272727" w:themeColor="text1" w:themeTint="D8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4B04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E4B0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E4B04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E4B04"/>
    <w:rPr>
      <w:rFonts w:eastAsiaTheme="majorEastAsia" w:cstheme="majorBidi"/>
      <w:i/>
      <w:iCs/>
      <w:color w:val="365F91" w:themeColor="accent1" w:themeShade="BF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0E4B04"/>
    <w:rPr>
      <w:rFonts w:eastAsiaTheme="majorEastAsia" w:cstheme="majorBidi"/>
      <w:color w:val="365F91" w:themeColor="accent1" w:themeShade="BF"/>
      <w:sz w:val="24"/>
    </w:rPr>
  </w:style>
  <w:style w:type="character" w:customStyle="1" w:styleId="60">
    <w:name w:val="Заголовок 6 Знак"/>
    <w:basedOn w:val="a0"/>
    <w:link w:val="6"/>
    <w:uiPriority w:val="9"/>
    <w:semiHidden/>
    <w:rsid w:val="000E4B04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70">
    <w:name w:val="Заголовок 7 Знак"/>
    <w:basedOn w:val="a0"/>
    <w:link w:val="7"/>
    <w:uiPriority w:val="9"/>
    <w:semiHidden/>
    <w:rsid w:val="000E4B04"/>
    <w:rPr>
      <w:rFonts w:eastAsiaTheme="majorEastAsia" w:cstheme="majorBidi"/>
      <w:color w:val="595959" w:themeColor="text1" w:themeTint="A6"/>
      <w:sz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E4B04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E4B04"/>
    <w:rPr>
      <w:rFonts w:eastAsiaTheme="majorEastAsia" w:cstheme="majorBidi"/>
      <w:color w:val="272727" w:themeColor="text1" w:themeTint="D8"/>
      <w:sz w:val="24"/>
    </w:rPr>
  </w:style>
  <w:style w:type="paragraph" w:styleId="a3">
    <w:name w:val="Title"/>
    <w:basedOn w:val="a"/>
    <w:next w:val="a"/>
    <w:link w:val="a4"/>
    <w:uiPriority w:val="10"/>
    <w:qFormat/>
    <w:rsid w:val="000E4B04"/>
    <w:pPr>
      <w:spacing w:after="80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E4B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E4B04"/>
    <w:pPr>
      <w:numPr>
        <w:ilvl w:val="1"/>
      </w:numPr>
      <w:spacing w:line="276" w:lineRule="auto"/>
      <w:jc w:val="both"/>
    </w:pPr>
    <w:rPr>
      <w:rFonts w:asciiTheme="minorHAnsi" w:eastAsiaTheme="majorEastAsia" w:hAnsiTheme="minorHAnsi" w:cstheme="majorBidi"/>
      <w:color w:val="595959" w:themeColor="text1" w:themeTint="A6"/>
      <w:spacing w:val="15"/>
      <w:kern w:val="0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E4B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E4B04"/>
    <w:pPr>
      <w:spacing w:before="160" w:line="276" w:lineRule="auto"/>
      <w:jc w:val="center"/>
    </w:pPr>
    <w:rPr>
      <w:rFonts w:eastAsiaTheme="minorHAnsi" w:cstheme="minorBidi"/>
      <w:i/>
      <w:iCs/>
      <w:color w:val="404040" w:themeColor="text1" w:themeTint="BF"/>
      <w:kern w:val="0"/>
      <w:sz w:val="24"/>
    </w:rPr>
  </w:style>
  <w:style w:type="character" w:customStyle="1" w:styleId="22">
    <w:name w:val="Цитата 2 Знак"/>
    <w:basedOn w:val="a0"/>
    <w:link w:val="21"/>
    <w:uiPriority w:val="29"/>
    <w:rsid w:val="000E4B04"/>
    <w:rPr>
      <w:rFonts w:ascii="Times New Roman" w:hAnsi="Times New Roman"/>
      <w:i/>
      <w:iCs/>
      <w:color w:val="404040" w:themeColor="text1" w:themeTint="BF"/>
      <w:sz w:val="24"/>
    </w:rPr>
  </w:style>
  <w:style w:type="paragraph" w:styleId="a7">
    <w:name w:val="List Paragraph"/>
    <w:basedOn w:val="a"/>
    <w:uiPriority w:val="34"/>
    <w:qFormat/>
    <w:rsid w:val="000E4B04"/>
    <w:pPr>
      <w:spacing w:after="200" w:line="276" w:lineRule="auto"/>
      <w:ind w:left="720"/>
      <w:contextualSpacing/>
      <w:jc w:val="both"/>
    </w:pPr>
    <w:rPr>
      <w:rFonts w:eastAsiaTheme="minorHAnsi" w:cstheme="minorBidi"/>
      <w:kern w:val="0"/>
      <w:sz w:val="24"/>
    </w:rPr>
  </w:style>
  <w:style w:type="character" w:styleId="a8">
    <w:name w:val="Intense Emphasis"/>
    <w:basedOn w:val="a0"/>
    <w:uiPriority w:val="21"/>
    <w:qFormat/>
    <w:rsid w:val="000E4B04"/>
    <w:rPr>
      <w:i/>
      <w:iCs/>
      <w:color w:val="365F9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E4B04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 w:line="276" w:lineRule="auto"/>
      <w:ind w:left="864" w:right="864"/>
      <w:jc w:val="center"/>
    </w:pPr>
    <w:rPr>
      <w:rFonts w:eastAsiaTheme="minorHAnsi" w:cstheme="minorBidi"/>
      <w:i/>
      <w:iCs/>
      <w:color w:val="365F91" w:themeColor="accent1" w:themeShade="BF"/>
      <w:kern w:val="0"/>
      <w:sz w:val="24"/>
    </w:rPr>
  </w:style>
  <w:style w:type="character" w:customStyle="1" w:styleId="aa">
    <w:name w:val="Выделенная цитата Знак"/>
    <w:basedOn w:val="a0"/>
    <w:link w:val="a9"/>
    <w:uiPriority w:val="30"/>
    <w:rsid w:val="000E4B04"/>
    <w:rPr>
      <w:rFonts w:ascii="Times New Roman" w:hAnsi="Times New Roman"/>
      <w:i/>
      <w:iCs/>
      <w:color w:val="365F91" w:themeColor="accent1" w:themeShade="BF"/>
      <w:sz w:val="24"/>
    </w:rPr>
  </w:style>
  <w:style w:type="character" w:styleId="ab">
    <w:name w:val="Intense Reference"/>
    <w:basedOn w:val="a0"/>
    <w:uiPriority w:val="32"/>
    <w:qFormat/>
    <w:rsid w:val="000E4B04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1902</Characters>
  <Application>Microsoft Office Word</Application>
  <DocSecurity>0</DocSecurity>
  <Lines>15</Lines>
  <Paragraphs>4</Paragraphs>
  <ScaleCrop>false</ScaleCrop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Gavriliuc</dc:creator>
  <cp:keywords/>
  <dc:description/>
  <cp:lastModifiedBy>Lucia Gavriliuc</cp:lastModifiedBy>
  <cp:revision>1</cp:revision>
  <dcterms:created xsi:type="dcterms:W3CDTF">2024-06-20T08:05:00Z</dcterms:created>
  <dcterms:modified xsi:type="dcterms:W3CDTF">2024-06-20T08:05:00Z</dcterms:modified>
</cp:coreProperties>
</file>