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/>
        <w:jc w:val="center"/>
      </w:pPr>
      <w:r>
        <w:rPr>
          <w:b/>
          <w:sz w:val="28"/>
        </w:rPr>
        <w:t>ПУБЛИЧНАЯ ДЕКЛАРАЦИЯ</w:t>
      </w:r>
    </w:p>
    <w:p>
      <w:pPr>
        <w:spacing w:after="240"/>
        <w:jc w:val="center"/>
      </w:pPr>
      <w:r>
        <w:rPr>
          <w:b/>
          <w:sz w:val="24"/>
        </w:rPr>
        <w:t>экологического гражданского общества Республики Молдова о критической ситуации с водными ресурсами</w:t>
      </w:r>
    </w:p>
    <w:p>
      <w:pPr>
        <w:spacing w:after="360" w:before="0" w:line="276" w:lineRule="auto"/>
        <w:jc w:val="center"/>
      </w:pPr>
      <w:r>
        <w:rPr>
          <w:b w:val="0"/>
          <w:i/>
        </w:rPr>
        <w:t>Кишинэу, сентябрь 2026 года</w:t>
      </w:r>
    </w:p>
    <w:p>
      <w:pPr>
        <w:spacing w:after="120" w:before="0" w:line="276" w:lineRule="auto"/>
        <w:jc w:val="left"/>
      </w:pPr>
      <w:r>
        <w:rPr>
          <w:b w:val="0"/>
          <w:i w:val="0"/>
        </w:rPr>
        <w:t>Нижеподписавшиеся неправительственные экологические организации, представляющие гражданское общество Республики Молдова, обращают внимание центральных и местных органов публичной власти, а также общественности на серьезность текущей гидрологической ситуации и необходимость принятия срочных, последовательных и долгосрочных мер по управлению водными ресурсами страны.</w:t>
      </w:r>
    </w:p>
    <w:p>
      <w:pPr>
        <w:spacing w:after="120" w:before="0" w:line="276" w:lineRule="auto"/>
        <w:jc w:val="left"/>
      </w:pPr>
      <w:r>
        <w:rPr>
          <w:b w:val="0"/>
          <w:i w:val="0"/>
        </w:rPr>
        <w:t>28 июля 2026 года Постановлением Правительства № 378/2026 было объявлено состояние гидрологического предупреждения (алерта) сроком на 30 дней в связи с критическим падением дебита реки Днестр и высоким риском для работы водозаборных станций, предназначенных для снабжения питьевой водой и ирригации. Это решение официально подтверждает то, о чем экологическое сообщество сигнализирует уже много лет: Республика Молдова сталкивается с затяжным гидрологическим кризисом, а не просто с временным метеорологическим эпизодом.</w:t>
      </w:r>
    </w:p>
    <w:p>
      <w:pPr>
        <w:spacing w:after="120" w:before="0" w:line="276" w:lineRule="auto"/>
        <w:jc w:val="left"/>
      </w:pPr>
      <w:r>
        <w:rPr>
          <w:b w:val="0"/>
          <w:i w:val="0"/>
        </w:rPr>
        <w:t>Состояние гидрологического предупреждения было продлено Постановлением Правительства № 494 от 26.08.2026 еще на 30 дней в целях предупреждения и смягчения последствий, вызванных снижением стока воды в реке Днестр и реке Прут, принимая во обеспечение безопасности водозаборных станций, используемых для питьевого водоснабжения и ирригации, а также необходимости защиты окружающей среды, критической инфраструктуры и здоровья населения.</w:t>
      </w:r>
    </w:p>
    <w:p>
      <w:pPr>
        <w:spacing w:after="120" w:before="0" w:line="276" w:lineRule="auto"/>
        <w:jc w:val="left"/>
      </w:pPr>
      <w:r>
        <w:rPr>
          <w:b w:val="0"/>
          <w:i w:val="0"/>
        </w:rPr>
        <w:t>В результате продления периодов гидрологического предупреждения 22 сентября 2026 года Правительство предложило Парламенту Республики Молдова объявить чрезвычайное положение в энергетическом и гидрологическом секторах сроком на 60 дней. Парламент утвердил Постановлением № 222 от 22 сентября 2026 года объявление чрезвычайного положения в энергетическом и гидрологическом секторах начиная с 26 сентября 2026 года, сославшись в качестве основания на ухудшение гидрологической ситуации на реке Днестр в условиях, когда на текущий момент объем накоплений примерно в три раза меньше объема сбросов из водохранилища.</w:t>
      </w:r>
    </w:p>
    <w:p>
      <w:pPr>
        <w:spacing w:after="120" w:before="0" w:line="276" w:lineRule="auto"/>
        <w:jc w:val="left"/>
      </w:pPr>
      <w:r>
        <w:rPr>
          <w:b w:val="0"/>
          <w:i w:val="0"/>
        </w:rPr>
        <w:t>Эту ситуацию нельзя рассматривать только как следствие засушливого года. Ее необходимо анализировать в более широком контексте климатических изменений, снижения естественной доступности воды, изменения водотоков, деградации почв и экосистем, забора и использования воды, а также существующей инфраструктуры.</w:t>
      </w:r>
    </w:p>
    <w:p>
      <w:pPr>
        <w:spacing w:after="120" w:before="0" w:line="276" w:lineRule="auto"/>
        <w:jc w:val="left"/>
      </w:pPr>
      <w:r>
        <w:rPr>
          <w:b w:val="0"/>
          <w:i w:val="0"/>
        </w:rPr>
        <w:t>Засуха — это естественное явление, усиливающееся изменениями климата. Однако уязвимость общества к засухе в значительной степени является результатом того, как мы управляем территорией и водой.</w:t>
      </w:r>
    </w:p>
    <w:p>
      <w:pPr>
        <w:spacing w:after="120" w:before="0" w:line="276" w:lineRule="auto"/>
        <w:jc w:val="left"/>
      </w:pPr>
      <w:r>
        <w:rPr>
          <w:b w:val="0"/>
          <w:i w:val="0"/>
        </w:rPr>
        <w:t>Официальные данные, содержащиеся в документах по планированию и управлению водными ресурсами, подтверждают этот вывод:</w:t>
      </w:r>
    </w:p>
    <w:p>
      <w:pPr>
        <w:pStyle w:val="ListBullet"/>
        <w:spacing w:after="80" w:line="276" w:lineRule="auto"/>
      </w:pPr>
      <w:r>
        <w:t>Среднегодовой объем реки Днестр составляет около 9,2 км³, но в засушливые годы он может снижаться до 6 км³ — сокращение более чем на 30% по сравнению со средним показателем (План управления округом гидрографического бассейна Днестра, II цикл 2025-2030 гг., утвержденный ПП № 70/2025).</w:t>
      </w:r>
    </w:p>
    <w:p>
      <w:pPr>
        <w:pStyle w:val="ListBullet"/>
        <w:spacing w:after="80" w:line="276" w:lineRule="auto"/>
      </w:pPr>
      <w:r>
        <w:t>Среднегодовой объем реки Прут составляет 2,7 км³, но в годы с дефицитом осадков он может опускаться всего до 1,2 км³ — практически двукратное сокращение (Программа управления округом гидрографического бассейна Дунай–Прут и Черное море, утвержденная ПП № 444/2022).</w:t>
      </w:r>
    </w:p>
    <w:p>
      <w:pPr>
        <w:pStyle w:val="ListBullet"/>
        <w:spacing w:after="80" w:line="276" w:lineRule="auto"/>
      </w:pPr>
      <w:r>
        <w:t>Большая часть национальной территории относится к субгумидным (умеренно влажным) и полузасушливым регионам с высоким риском засухи и опустынивания; среднее годовое количество осадков уже сократилось на 7,2% между базовыми периодами 1961–1990 и 1991–2020 годов.</w:t>
      </w:r>
    </w:p>
    <w:p>
      <w:pPr>
        <w:pStyle w:val="ListBullet"/>
        <w:spacing w:after="80" w:line="276" w:lineRule="auto"/>
      </w:pPr>
      <w:r>
        <w:t>За последние два десятилетия Республика Молдова столкнулась с 7 сильными засухами (2000, 2003, 2007, 2012, 2015, 2017, 2020 гг.), некоторые из которых охватили до 100% территории страны и нанесли экономический ущерб в миллиарды леев.</w:t>
      </w:r>
    </w:p>
    <w:p>
      <w:pPr>
        <w:pStyle w:val="ListBullet"/>
        <w:spacing w:after="80" w:line="276" w:lineRule="auto"/>
      </w:pPr>
      <w:r>
        <w:t>Большинство малых рек в обоих гидрографических округах подверглись сильным гидроморфологическим изменениям (выпрямление, регулирование, строительство плотин), что резко снижает их естественную способность удерживать и восстанавливать воду — многие из них полностью пересыхают в критические периоды.</w:t>
      </w:r>
    </w:p>
    <w:p>
      <w:pPr>
        <w:pStyle w:val="ListBullet"/>
        <w:spacing w:after="80" w:line="276" w:lineRule="auto"/>
      </w:pPr>
      <w:r>
        <w:t>Сельское хозяйство потребляет около 70% от общего массива используемой воды на национальном уровне, часто неэффективными методами ирригации, в то время как площади, орошаемые через централизованные и современные системы, остаются крайне ограниченными.</w:t>
      </w:r>
    </w:p>
    <w:p>
      <w:pPr>
        <w:pStyle w:val="ListBullet"/>
        <w:spacing w:after="80" w:line="276" w:lineRule="auto"/>
      </w:pPr>
      <w:r>
        <w:t>Значительная часть водоснабжения по-прежнему базируется на нецентрализованных источниках (колодцы, родники), которые не подлежат учету и контролю, что делает точное управление потреблением в периоды кризиса практически невозможным.</w:t>
      </w:r>
    </w:p>
    <w:p>
      <w:pPr>
        <w:spacing w:after="120" w:before="0" w:line="276" w:lineRule="auto"/>
        <w:jc w:val="left"/>
      </w:pPr>
      <w:r>
        <w:rPr>
          <w:b w:val="0"/>
          <w:i w:val="0"/>
        </w:rPr>
        <w:t>Эти показатели указывают на фундаментальную уязвимость: страна должна организовывать свое развитие исходя не из количества воды, доступной в благоприятный год, а из способности системы функционировать в годы с дефицитом воды.</w:t>
      </w:r>
    </w:p>
    <w:p>
      <w:pPr>
        <w:spacing w:after="120" w:before="0" w:line="276" w:lineRule="auto"/>
        <w:jc w:val="left"/>
      </w:pPr>
      <w:r>
        <w:rPr>
          <w:b w:val="0"/>
          <w:i w:val="0"/>
        </w:rPr>
        <w:t>За последние два десятилетия Республика Молдова пережила несколько тяжелых эпизодов засухи, некоторые из которых затронули очень большую часть территории и повлекли за собой значительные экономические потери. В то же время меняются осадки и климатический режим, а давление на водные ресурсы растет.</w:t>
      </w:r>
    </w:p>
    <w:p>
      <w:pPr>
        <w:spacing w:after="120" w:before="0" w:line="276" w:lineRule="auto"/>
        <w:jc w:val="left"/>
      </w:pPr>
      <w:r>
        <w:rPr>
          <w:b w:val="0"/>
          <w:i w:val="0"/>
        </w:rPr>
        <w:t>Следовательно, водная безопасность больше не может управляться исключительно посредством экстренных мер, принимаемых тогда, когда уровни и объемы стока уже достигли критических значений.</w:t>
      </w:r>
    </w:p>
    <w:p>
      <w:pPr>
        <w:spacing w:after="120" w:before="0" w:line="276" w:lineRule="auto"/>
        <w:jc w:val="left"/>
      </w:pPr>
      <w:r>
        <w:rPr>
          <w:b w:val="0"/>
          <w:i w:val="0"/>
        </w:rPr>
        <w:t>Хотя доступность водных ресурсов остается постоянной проблемой, объем забора воды из поверхностных источников фиксирует значительный рост в таких районах, как: Криулень (почти в 9 раз), Стрэшень (в 2,8 раза), Дубэсарь (в 2,6 раза), Анений Ной и Кэушень (в 2 раза) [1].</w:t>
      </w:r>
    </w:p>
    <w:p>
      <w:pPr>
        <w:spacing w:after="120" w:before="0" w:line="276" w:lineRule="auto"/>
        <w:jc w:val="left"/>
      </w:pPr>
      <w:r>
        <w:rPr>
          <w:b w:val="0"/>
          <w:i w:val="0"/>
        </w:rPr>
        <w:t>В округе гидрографического бассейна Дунай–Прут и Черное море наиболее значительным давлением является нарушение непрерывности рек из-за строительства плотин и забора воды [2].</w:t>
      </w:r>
    </w:p>
    <w:p>
      <w:pPr>
        <w:spacing w:after="120" w:before="0" w:line="276" w:lineRule="auto"/>
        <w:jc w:val="left"/>
      </w:pPr>
      <w:r>
        <w:rPr>
          <w:b w:val="0"/>
          <w:i w:val="0"/>
        </w:rPr>
        <w:t>Эти ситуации требуют радикального изменения подходов к управлению и использованию водных ресурсов для экономической деятельности, включая изменение разрешенных объемов водозабора и методов ведения сельского хозяйства.</w:t>
      </w:r>
    </w:p>
    <w:p>
      <w:pPr>
        <w:spacing w:after="120" w:before="0" w:line="276" w:lineRule="auto"/>
        <w:jc w:val="left"/>
      </w:pPr>
      <w:r>
        <w:rPr>
          <w:b w:val="0"/>
          <w:i w:val="0"/>
        </w:rPr>
        <w:t>Помимо резкого сокращения объемов воды в Пруте и Днестре, нынешний кризис напрямую затрагивает и внутреннюю гидрографическую сеть страны. Большинство малых рек в бассейнах Дуная, Прута и Днестра на протяжении десятилетий подвергались сильным гидроморфологическим изменениям — их выпрямляли, регулировали и перегораживали плотинами, что значительно снизило их естественную способность удерживать, питать и восстанавливать воду. В настоящее время все большее число этих вторичных водотоков пересыхают частично или полностью в пиковые периоды засухи, что напрямую ощущается населенными пунктами, которые зависели от них для водопоя скота или других бытовых нужд.</w:t>
      </w:r>
    </w:p>
    <w:p>
      <w:pPr>
        <w:spacing w:after="120" w:before="0" w:line="276" w:lineRule="auto"/>
        <w:jc w:val="left"/>
      </w:pPr>
      <w:r>
        <w:rPr>
          <w:b w:val="0"/>
          <w:i w:val="0"/>
        </w:rPr>
        <w:t>Подход, ограничивающийся только Днестром и Прутом, упускал бы из виду важнейшую часть проблемы. Гидрографическая сеть Республики Молдова состоит из многочисленных малых рек, ручьев, долин, родников, водно-болотных угодий и других экосистем, которые способствуют циркуляции, удержанию и инфильтрации воды.</w:t>
      </w:r>
    </w:p>
    <w:p>
      <w:pPr>
        <w:spacing w:after="120" w:before="0" w:line="276" w:lineRule="auto"/>
        <w:jc w:val="left"/>
      </w:pPr>
      <w:r>
        <w:rPr>
          <w:b w:val="0"/>
          <w:i w:val="0"/>
        </w:rPr>
        <w:t>Многие из этих систем были изменены путем выпрямления и регулирования русел, строительства плотин, осушения водно-болотных угодий и других вмешательств, которые ослабили природные функции водных экосистем.</w:t>
      </w:r>
    </w:p>
    <w:p>
      <w:pPr>
        <w:spacing w:after="120" w:before="0" w:line="276" w:lineRule="auto"/>
        <w:jc w:val="left"/>
      </w:pPr>
      <w:r>
        <w:rPr>
          <w:b w:val="0"/>
          <w:i w:val="0"/>
        </w:rPr>
        <w:t>Следствие этого парадоксально: во время сильных дождей вода может быстро стекать с территории, способствуя эрозии и паводкам, а в засушливые периоды остается меньше воды, удерживаемой в почве, на водно-болотных угодьях, в поймах рек и в гидрографической сети.</w:t>
      </w:r>
    </w:p>
    <w:p>
      <w:pPr>
        <w:spacing w:after="120" w:before="0" w:line="276" w:lineRule="auto"/>
        <w:jc w:val="left"/>
      </w:pPr>
      <w:r>
        <w:rPr>
          <w:b w:val="0"/>
          <w:i w:val="0"/>
        </w:rPr>
        <w:t>Страна, устойчивая к засухе, — это не та страна, которая только ищет новые источники воды, но и та, которая применяет меры для удержания воды на своей территории.</w:t>
      </w:r>
    </w:p>
    <w:p>
      <w:pPr>
        <w:spacing w:after="120" w:before="0" w:line="276" w:lineRule="auto"/>
        <w:jc w:val="left"/>
      </w:pPr>
      <w:r>
        <w:rPr>
          <w:b w:val="0"/>
          <w:i w:val="0"/>
        </w:rPr>
        <w:t>На европейском уровне, согласно последнему отчету Европейского агентства по окружающей среде «Europe's State of Water 2024», водный стресс уже ежегодно затрагивает 20% территории Европы и 30% населения, и эти цифры, вероятно, вырастут из-за изменений климата — знак того, что проблема связана не только с объемами забора, но и со снижением доступности самого ресурса.</w:t>
      </w:r>
    </w:p>
    <w:p>
      <w:pPr>
        <w:spacing w:after="120" w:before="0" w:line="276" w:lineRule="auto"/>
        <w:jc w:val="left"/>
      </w:pPr>
      <w:r>
        <w:rPr>
          <w:b w:val="0"/>
          <w:i w:val="0"/>
        </w:rPr>
        <w:t>4 июня 2025 года Европейская комиссия приняла Европейскую стратегию водной устойчивости, самый последний и всеобъемлющий политический документ в этой области. Он устанавливает цель сократить потребление воды на 10% к 2030 году за счет повышения эффективности и повторного использования во всех секторах, модернизации инфраструктуры и ускорения инноваций. Документ явно признает центральную роль сельского хозяйства: оно определено как основной потребитель воды в ЕС, на долю которого приходится 59% общего потребления.</w:t>
      </w:r>
    </w:p>
    <w:p>
      <w:pPr>
        <w:spacing w:before="240" w:after="120"/>
      </w:pPr>
      <w:r>
        <w:rPr>
          <w:b/>
          <w:sz w:val="24"/>
        </w:rPr>
        <w:t>ДНЕСТР — СТРАТЕГИЧЕСКИЙ РЕСУРС И ЖИЗНЕННО ВАЖНАЯ ЭКОСИСТЕМА</w:t>
      </w:r>
    </w:p>
    <w:p>
      <w:pPr>
        <w:spacing w:after="120" w:before="0" w:line="276" w:lineRule="auto"/>
        <w:jc w:val="left"/>
      </w:pPr>
      <w:r>
        <w:rPr>
          <w:b w:val="0"/>
          <w:i w:val="0"/>
        </w:rPr>
        <w:t>Днестр нельзя рассматривать исключительно как источник воды для потребления, промышленности или ирригации. Он одновременно является:</w:t>
      </w:r>
    </w:p>
    <w:p>
      <w:pPr>
        <w:pStyle w:val="ListBullet"/>
        <w:spacing w:after="80" w:line="276" w:lineRule="auto"/>
      </w:pPr>
      <w:r>
        <w:t>главной гидрологической артерией страны;</w:t>
      </w:r>
    </w:p>
    <w:p>
      <w:pPr>
        <w:pStyle w:val="ListBullet"/>
        <w:spacing w:after="80" w:line="276" w:lineRule="auto"/>
      </w:pPr>
      <w:r>
        <w:t>экосистемой национального и международного значения;</w:t>
      </w:r>
    </w:p>
    <w:p>
      <w:pPr>
        <w:pStyle w:val="ListBullet"/>
        <w:spacing w:after="80" w:line="276" w:lineRule="auto"/>
      </w:pPr>
      <w:r>
        <w:t>коридором для биоразнообразия;</w:t>
      </w:r>
    </w:p>
    <w:p>
      <w:pPr>
        <w:pStyle w:val="ListBullet"/>
        <w:spacing w:after="80" w:line="276" w:lineRule="auto"/>
      </w:pPr>
      <w:r>
        <w:t>источником воды для населения и экономики;</w:t>
      </w:r>
    </w:p>
    <w:p>
      <w:pPr>
        <w:pStyle w:val="ListBullet"/>
        <w:spacing w:after="80" w:line="276" w:lineRule="auto"/>
      </w:pPr>
      <w:r>
        <w:t>важным элементом для сельского хозяйства бассейна;</w:t>
      </w:r>
    </w:p>
    <w:p>
      <w:pPr>
        <w:pStyle w:val="ListBullet"/>
        <w:spacing w:after="80" w:line="276" w:lineRule="auto"/>
      </w:pPr>
      <w:r>
        <w:t>природной системой, способствующей регулированию экологических и микроклиматических условий в прибрежных зонах.</w:t>
      </w:r>
    </w:p>
    <w:p>
      <w:pPr>
        <w:spacing w:after="120" w:before="0" w:line="276" w:lineRule="auto"/>
        <w:jc w:val="left"/>
      </w:pPr>
      <w:r>
        <w:rPr>
          <w:b w:val="0"/>
          <w:i w:val="0"/>
        </w:rPr>
        <w:t>Существенное снижение дебита и изменение гидрологического режима Днестра должны анализироваться не только с точки зрения количества воды, доступной для забора, но и с точки зрения функционирования всей экосистемы. Важно сделать научное различие: уменьшение дебита Днестра не может преподноситься как причина метеорологической засухи на уровне всей Республики Молдова. Засуха определяется прежде всего атмосферными и гидрологическими условиями во всем бассейне и усиливается изменением климата.</w:t>
      </w:r>
    </w:p>
    <w:p>
      <w:pPr>
        <w:spacing w:after="120" w:before="0" w:line="276" w:lineRule="auto"/>
        <w:jc w:val="left"/>
      </w:pPr>
      <w:r>
        <w:rPr>
          <w:b w:val="0"/>
          <w:i w:val="0"/>
        </w:rPr>
        <w:t>В то же время изменение гидрологического режима Днестра, потеря водных площадей и деградация пойм и водно-болотных угодий могут усилить уязвимость экосистем и повлиять на локальные условия температуры, влажности, биоразнообразия и экологического функционирования.</w:t>
      </w:r>
    </w:p>
    <w:p>
      <w:pPr>
        <w:spacing w:before="240" w:after="120"/>
      </w:pPr>
      <w:r>
        <w:rPr>
          <w:b/>
          <w:sz w:val="24"/>
        </w:rPr>
        <w:t>СЕЛЬСКОЕ ХОЗЯЙСТВО ДОЛЖНО СТАТЬ БОЛЕЕ УСТОЙЧИВЫМ К ЗАСУХЕ</w:t>
      </w:r>
    </w:p>
    <w:p>
      <w:pPr>
        <w:spacing w:after="120" w:before="0" w:line="276" w:lineRule="auto"/>
        <w:jc w:val="left"/>
      </w:pPr>
      <w:r>
        <w:rPr>
          <w:b w:val="0"/>
          <w:i w:val="0"/>
        </w:rPr>
        <w:t>Сельское хозяйство является одним из основных пользователей водных ресурсов, и давление на этот ресурс будет возрастать в условиях изменения климата. Ответом должно быть не произвольное сокращение сельскохозяйственной деятельности, а ее трансформация в более эффективный и устойчивый сектор. Это предполагает:</w:t>
      </w:r>
    </w:p>
    <w:p>
      <w:pPr>
        <w:pStyle w:val="ListBullet"/>
        <w:spacing w:after="80" w:line="276" w:lineRule="auto"/>
      </w:pPr>
      <w:r>
        <w:t>сокращение потерь воды при заборе и транспортировке;</w:t>
      </w:r>
    </w:p>
    <w:p>
      <w:pPr>
        <w:pStyle w:val="ListBullet"/>
        <w:spacing w:after="80" w:line="276" w:lineRule="auto"/>
      </w:pPr>
      <w:r>
        <w:t>модернизацию ирригационных систем;</w:t>
      </w:r>
    </w:p>
    <w:p>
      <w:pPr>
        <w:pStyle w:val="ListBullet"/>
        <w:spacing w:after="80" w:line="276" w:lineRule="auto"/>
      </w:pPr>
      <w:r>
        <w:t>расширение эффективного орошения;</w:t>
      </w:r>
    </w:p>
    <w:p>
      <w:pPr>
        <w:pStyle w:val="ListBullet"/>
        <w:spacing w:after="80" w:line="276" w:lineRule="auto"/>
      </w:pPr>
      <w:r>
        <w:t>мониторинг влажности почвы;</w:t>
      </w:r>
    </w:p>
    <w:p>
      <w:pPr>
        <w:pStyle w:val="ListBullet"/>
        <w:spacing w:after="80" w:line="276" w:lineRule="auto"/>
      </w:pPr>
      <w:r>
        <w:t>программирование полива в соответствии с реальными потребностями культур;</w:t>
      </w:r>
    </w:p>
    <w:p>
      <w:pPr>
        <w:pStyle w:val="ListBullet"/>
        <w:spacing w:after="80" w:line="276" w:lineRule="auto"/>
      </w:pPr>
      <w:r>
        <w:t>использование культур и сортов, адаптированных к местным условиям;</w:t>
      </w:r>
    </w:p>
    <w:p>
      <w:pPr>
        <w:pStyle w:val="ListBullet"/>
        <w:spacing w:after="80" w:line="276" w:lineRule="auto"/>
      </w:pPr>
      <w:r>
        <w:t>поддержание почвенного покрова;</w:t>
      </w:r>
    </w:p>
    <w:p>
      <w:pPr>
        <w:pStyle w:val="ListBullet"/>
        <w:spacing w:after="80" w:line="276" w:lineRule="auto"/>
      </w:pPr>
      <w:r>
        <w:t>снижение эрозии;</w:t>
      </w:r>
    </w:p>
    <w:p>
      <w:pPr>
        <w:pStyle w:val="ListBullet"/>
        <w:spacing w:after="80" w:line="276" w:lineRule="auto"/>
      </w:pPr>
      <w:r>
        <w:t>расширение агролесомелиоративных земель и лесных полос;</w:t>
      </w:r>
    </w:p>
    <w:p>
      <w:pPr>
        <w:pStyle w:val="ListBullet"/>
        <w:spacing w:after="80" w:line="276" w:lineRule="auto"/>
      </w:pPr>
      <w:r>
        <w:t>повышение способности почвы удерживать воду.</w:t>
      </w:r>
    </w:p>
    <w:p>
      <w:pPr>
        <w:spacing w:before="240" w:after="120"/>
      </w:pPr>
      <w:r>
        <w:rPr>
          <w:b/>
          <w:sz w:val="24"/>
        </w:rPr>
        <w:t>МЫ НЕ МОЖЕМ УПРАВЛЯТЬ ТЕМ, ЧТО НЕ ИЗМЕРЯЕМ</w:t>
      </w:r>
    </w:p>
    <w:p>
      <w:pPr>
        <w:spacing w:after="120" w:before="0" w:line="276" w:lineRule="auto"/>
        <w:jc w:val="left"/>
      </w:pPr>
      <w:r>
        <w:rPr>
          <w:b w:val="0"/>
          <w:i w:val="0"/>
        </w:rPr>
        <w:t>Фундаментальной проблемой остается нехватка точной информации о потреблении и заборе воды. Значительная часть водоснабжения основывается на нецентрализованных источниках, а отсутствие учета и счетчиков затрудняет реальную оценку потребления. В условиях гидрологического кризиса такая ситуация более не допустима.</w:t>
      </w:r>
    </w:p>
    <w:p>
      <w:pPr>
        <w:spacing w:after="120" w:before="0" w:line="276" w:lineRule="auto"/>
        <w:jc w:val="left"/>
      </w:pPr>
      <w:r>
        <w:rPr>
          <w:b w:val="0"/>
          <w:i w:val="0"/>
        </w:rPr>
        <w:t>Республике Молдова необходима прозрачная и интегрированная система мониторинга:</w:t>
      </w:r>
    </w:p>
    <w:p>
      <w:pPr>
        <w:pStyle w:val="ListBullet"/>
        <w:spacing w:after="80" w:line="276" w:lineRule="auto"/>
      </w:pPr>
      <w:r>
        <w:t>расхода (дебита) рек;</w:t>
      </w:r>
    </w:p>
    <w:p>
      <w:pPr>
        <w:pStyle w:val="ListBullet"/>
        <w:spacing w:after="80" w:line="276" w:lineRule="auto"/>
      </w:pPr>
      <w:r>
        <w:t>уровня воды;</w:t>
      </w:r>
    </w:p>
    <w:p>
      <w:pPr>
        <w:pStyle w:val="ListBullet"/>
        <w:spacing w:after="80" w:line="276" w:lineRule="auto"/>
      </w:pPr>
      <w:r>
        <w:t>объемов водозабора;</w:t>
      </w:r>
    </w:p>
    <w:p>
      <w:pPr>
        <w:pStyle w:val="ListBullet"/>
        <w:spacing w:after="80" w:line="276" w:lineRule="auto"/>
      </w:pPr>
      <w:r>
        <w:t>потребления воды;</w:t>
      </w:r>
    </w:p>
    <w:p>
      <w:pPr>
        <w:pStyle w:val="ListBullet"/>
        <w:spacing w:after="80" w:line="276" w:lineRule="auto"/>
      </w:pPr>
      <w:r>
        <w:t>подземных вод;</w:t>
      </w:r>
    </w:p>
    <w:p>
      <w:pPr>
        <w:pStyle w:val="ListBullet"/>
        <w:spacing w:after="80" w:line="276" w:lineRule="auto"/>
      </w:pPr>
      <w:r>
        <w:t>ирригации;</w:t>
      </w:r>
    </w:p>
    <w:p>
      <w:pPr>
        <w:pStyle w:val="ListBullet"/>
        <w:spacing w:after="80" w:line="276" w:lineRule="auto"/>
      </w:pPr>
      <w:r>
        <w:t>экологического состояния водных экосистем.</w:t>
      </w:r>
    </w:p>
    <w:p>
      <w:pPr>
        <w:spacing w:after="120" w:before="0" w:line="276" w:lineRule="auto"/>
        <w:jc w:val="left"/>
      </w:pPr>
      <w:r>
        <w:rPr>
          <w:b w:val="0"/>
          <w:i w:val="0"/>
        </w:rPr>
        <w:t>Соответствующие данные должны быть доступны общественности в доступной форме.</w:t>
      </w:r>
    </w:p>
    <w:p>
      <w:pPr>
        <w:spacing w:before="240" w:after="120"/>
      </w:pPr>
      <w:r>
        <w:rPr>
          <w:b/>
          <w:sz w:val="24"/>
        </w:rPr>
        <w:t>ВОДНАЯ БЕЗОПАСНОСТЬ — ЭТО ОБЩАЯ ОТВЕТСТВЕННОСТЬ</w:t>
      </w:r>
    </w:p>
    <w:p>
      <w:pPr>
        <w:spacing w:after="120" w:before="0" w:line="276" w:lineRule="auto"/>
        <w:jc w:val="left"/>
      </w:pPr>
      <w:r>
        <w:rPr>
          <w:b w:val="0"/>
          <w:i w:val="0"/>
        </w:rPr>
        <w:t>Водная безопасность не может быть достигнута только за счет водозаборов, трубопроводов, насосных станций, плотин или резервуаров. Республика Молдова обладает естественной инфраструктурой для удержания воды: это леса, почвы, поймы рек, водно-болотные угодья, родники, малые реки, долины и зоны инфильтрации подземных вод. Эта природная инфраструктура нуждается в защите и восстановлении.</w:t>
      </w:r>
    </w:p>
    <w:p>
      <w:pPr>
        <w:spacing w:after="120" w:before="0" w:line="276" w:lineRule="auto"/>
        <w:jc w:val="left"/>
      </w:pPr>
      <w:r>
        <w:rPr>
          <w:b w:val="0"/>
          <w:i w:val="0"/>
        </w:rPr>
        <w:t>В связи с этим гражданское общество считает необходимым перейти от подхода, основанного преимущественно на быстром отводе воды с территории, к подходу, основанному на цепочке: удержание → инфильтрация → накопление → эффективное использование → повторное использование.</w:t>
      </w:r>
    </w:p>
    <w:p>
      <w:pPr>
        <w:pStyle w:val="ListBullet"/>
        <w:spacing w:after="80" w:line="276" w:lineRule="auto"/>
      </w:pPr>
      <w:r>
        <w:t>Правительство несет ответственность за создание и обеспечение реализации законодательной и институциональной базы.</w:t>
      </w:r>
    </w:p>
    <w:p>
      <w:pPr>
        <w:pStyle w:val="ListBullet"/>
        <w:spacing w:after="80" w:line="276" w:lineRule="auto"/>
      </w:pPr>
      <w:r>
        <w:t>Местные власти должны защищать источники воды и экосистемы на своей территории.</w:t>
      </w:r>
    </w:p>
    <w:p>
      <w:pPr>
        <w:pStyle w:val="ListBullet"/>
        <w:spacing w:after="80" w:line="276" w:lineRule="auto"/>
      </w:pPr>
      <w:r>
        <w:t>Фермерам необходимо оказывать поддержку в де внедрении эффективных технологий.</w:t>
      </w:r>
    </w:p>
    <w:p>
      <w:pPr>
        <w:pStyle w:val="ListBullet"/>
        <w:spacing w:after="80" w:line="276" w:lineRule="auto"/>
      </w:pPr>
      <w:r>
        <w:t>Экономические агенты обязаны использовать воду ответственно и сокращать потери.</w:t>
      </w:r>
    </w:p>
    <w:p>
      <w:pPr>
        <w:pStyle w:val="ListBullet"/>
        <w:spacing w:after="80" w:line="276" w:lineRule="auto"/>
      </w:pPr>
      <w:r>
        <w:t>А общество должно понять, что вода не является безграничным ресурсом.</w:t>
      </w:r>
    </w:p>
    <w:p>
      <w:pPr>
        <w:spacing w:after="120" w:before="0" w:line="276" w:lineRule="auto"/>
        <w:jc w:val="left"/>
      </w:pPr>
      <w:r>
        <w:rPr>
          <w:b/>
          <w:i w:val="0"/>
        </w:rPr>
        <w:t>Гидрологическая безопасность не может быть построена одним ведомством. Она должна стать общей целью государства и общества.</w:t>
      </w:r>
    </w:p>
    <w:p>
      <w:pPr>
        <w:spacing w:after="120" w:before="0" w:line="276" w:lineRule="auto"/>
        <w:jc w:val="left"/>
      </w:pPr>
      <w:r>
        <w:rPr>
          <w:b/>
          <w:i w:val="0"/>
        </w:rPr>
        <w:t>В контексте текущей ситуации мы призываем Правительство и соответствующие органы публичной власти к следующему:</w:t>
      </w:r>
    </w:p>
    <w:p>
      <w:pPr>
        <w:spacing w:after="120" w:line="276" w:lineRule="auto"/>
        <w:ind w:left="360"/>
      </w:pPr>
      <w:r>
        <w:rPr>
          <w:b/>
        </w:rPr>
        <w:t xml:space="preserve">1. </w:t>
      </w:r>
      <w:r>
        <w:t>Строгое и прозрачное применение мер, предусмотренных Постановлением Парламента № 222/2026, Постановлениями Правительства № 378/2026 и № 494/2026, с четким приоритетом обеспечения населения питьевой водой по сравнению с другими видами использования, а также регулярное публичное информирование о динамике дебита рек и принятых решениях.</w:t>
      </w:r>
    </w:p>
    <w:p>
      <w:pPr>
        <w:spacing w:after="120" w:line="276" w:lineRule="auto"/>
        <w:ind w:left="360"/>
      </w:pPr>
      <w:r>
        <w:rPr>
          <w:b/>
        </w:rPr>
        <w:t xml:space="preserve">2. </w:t>
      </w:r>
      <w:r>
        <w:t>Создание постоянного механизма мониторинга и публичной коммуникации по ситуации с водными ресурсами, а не только на период действия чрезвычайного положения.</w:t>
      </w:r>
    </w:p>
    <w:p>
      <w:pPr>
        <w:spacing w:after="120" w:line="276" w:lineRule="auto"/>
        <w:ind w:left="360"/>
      </w:pPr>
      <w:r>
        <w:rPr>
          <w:b/>
        </w:rPr>
        <w:t xml:space="preserve">3. </w:t>
      </w:r>
      <w:r>
        <w:t>Внедрение критериев гидрологической безопасности в проекты в области инфраструктуры, сельского хозяйства, урбанизма, энергетики и регионального развития.</w:t>
      </w:r>
    </w:p>
    <w:p>
      <w:pPr>
        <w:spacing w:after="120" w:line="276" w:lineRule="auto"/>
        <w:ind w:left="360"/>
      </w:pPr>
      <w:r>
        <w:rPr>
          <w:b/>
        </w:rPr>
        <w:t xml:space="preserve">4. </w:t>
      </w:r>
      <w:r>
        <w:t>Разработка Национальной программы гидрологической безопасности и устойчивости к засухе с четкими целями, индикаторами, сроками и обязанностями, включая пересмотр политики землепользования таким образом, чтобы защита гидрологических функций территории стала обязательным критерием пространственного планирования.</w:t>
      </w:r>
    </w:p>
    <w:p>
      <w:pPr>
        <w:spacing w:after="120" w:line="276" w:lineRule="auto"/>
        <w:ind w:left="360"/>
      </w:pPr>
      <w:r>
        <w:rPr>
          <w:b/>
        </w:rPr>
        <w:t xml:space="preserve">5. </w:t>
      </w:r>
      <w:r>
        <w:t>Ускорение облесения земель с низким сельскохозяйственным бонитетом и прибрежных защитных полос, восстановление водно-болотных угодий и пойм, а также создание буферных зон вдоль водотоков в соответствии с местными экологическими условиями и планами бассейнового управления — меры, которые уже предусмотрены в обоих планах бассейнового управления, утвержденных Правительством.</w:t>
      </w:r>
    </w:p>
    <w:p>
      <w:pPr>
        <w:spacing w:after="120" w:line="276" w:lineRule="auto"/>
        <w:ind w:left="360"/>
      </w:pPr>
      <w:r>
        <w:rPr>
          <w:b/>
        </w:rPr>
        <w:t xml:space="preserve">6. </w:t>
      </w:r>
      <w:r>
        <w:t>Реорганизация способов использования и управления сельскохозяйственными землями с целью повышения способности удерживать влагу в почве и предотвращения деградации земель, а также содействие переходу к устойчивым к засухе культурам с низкой потребностью в воде, включая постепенное сокращение площадей, занятых интенсивно орошаемой кукурузой и другими влаголюбивыми культурами, в пользу культур, лучше адаптированных к условиям дефицита воды.</w:t>
      </w:r>
    </w:p>
    <w:p>
      <w:pPr>
        <w:spacing w:after="120" w:line="276" w:lineRule="auto"/>
        <w:ind w:left="360"/>
      </w:pPr>
      <w:r>
        <w:rPr>
          <w:b/>
        </w:rPr>
        <w:t xml:space="preserve">7. </w:t>
      </w:r>
      <w:r>
        <w:t>Разработка механизмов стимулирования посадки лесов на сельскохозяйственных землях, независимо от их бонитета. Пересмотр структуры землепользования Республики Молдова путем сокращения сельскохозяйственных площадей в пользу лесных массивов.</w:t>
      </w:r>
    </w:p>
    <w:p>
      <w:pPr>
        <w:spacing w:after="120" w:line="276" w:lineRule="auto"/>
        <w:ind w:left="360"/>
      </w:pPr>
      <w:r>
        <w:rPr>
          <w:b/>
        </w:rPr>
        <w:t xml:space="preserve">8. </w:t>
      </w:r>
      <w:r>
        <w:t>Расширение учета и мониторинга забора воды, включая нецентрализованные источники, для обеспечения управления на основе реальных данных, а не оценок.</w:t>
      </w:r>
    </w:p>
    <w:p>
      <w:pPr>
        <w:spacing w:after="120" w:line="276" w:lineRule="auto"/>
        <w:ind w:left="360"/>
      </w:pPr>
      <w:r>
        <w:rPr>
          <w:b/>
        </w:rPr>
        <w:t xml:space="preserve">9. </w:t>
      </w:r>
      <w:r>
        <w:t>Модернизация ирригационных систем с приоритетом на внедрение эффективных технологий полива, включая капельное орошение, оснащение всех водозаборных узлов расходомерами и системами мониторинга, а также использование датчиков влажности почвы и программирование полива на основе реального суммарного испарения (эвапотранспирации).</w:t>
      </w:r>
    </w:p>
    <w:p>
      <w:pPr>
        <w:spacing w:after="120" w:line="276" w:lineRule="auto"/>
        <w:ind w:left="360"/>
      </w:pPr>
      <w:r>
        <w:rPr>
          <w:b/>
        </w:rPr>
        <w:t xml:space="preserve">10. </w:t>
      </w:r>
      <w:r>
        <w:t>Расширение природоориентированных решений (Nature-based Solutions) на сельскохозяйственных землях посредством создания лесополос, залужения и буферных зон вдоль водотоков, агролесомелиорации, постоянного или сезонного покрытия почвы, сокращения интенсивной обработки почвы и других практик, замедляющих сток воды и увеличивающих инфильтрацию и влагоудерживающую способность почвы.</w:t>
      </w:r>
    </w:p>
    <w:p>
      <w:pPr>
        <w:spacing w:after="120" w:line="276" w:lineRule="auto"/>
        <w:ind w:left="360"/>
      </w:pPr>
      <w:r>
        <w:rPr>
          <w:b/>
        </w:rPr>
        <w:t xml:space="preserve">11. </w:t>
      </w:r>
      <w:r>
        <w:t>Защита и восстановление естественных зон накопления и инфильтрации воды, включая поймы, долины, овраги, водно-болотные угодья, родники и земли, играющие важную роль в пополнении подземных вод. Эти площади должны быть идентифицированы и интегрированы в документы по обустройству территории, градостроительные планы и местные планы адаптации к климатическим изменениям, чтобы не допустить изменения их назначения, осушения или деградации.</w:t>
      </w:r>
    </w:p>
    <w:p>
      <w:pPr>
        <w:spacing w:after="120" w:line="276" w:lineRule="auto"/>
        <w:ind w:left="360"/>
      </w:pPr>
      <w:r>
        <w:rPr>
          <w:b/>
        </w:rPr>
        <w:t xml:space="preserve">12. </w:t>
      </w:r>
      <w:r>
        <w:t>Поддержка в рамках трансграничного сотрудничества мер по восстановлению верхнего бассейна Днестра, включая сохранение и расширение лесных площадей, борьбу с эрозией и восстановление деградировавших экосистем. Продвижение в рамках Днестровской комиссии активизации усилий Украины по лесовосстановлению в Карпатах на территориях, пострадавших от вырубки лесов в последние десятилетия.</w:t>
      </w:r>
    </w:p>
    <w:p>
      <w:pPr>
        <w:spacing w:after="120" w:line="276" w:lineRule="auto"/>
        <w:ind w:left="360"/>
      </w:pPr>
      <w:r>
        <w:rPr>
          <w:b/>
        </w:rPr>
        <w:t xml:space="preserve">13. </w:t>
      </w:r>
      <w:r>
        <w:t>Инициирование шагов по вовлечению левого берега Днестра в сотрудничество по устойчивому управлению гидрографическим бассейном реки Днестр, в том числе в части координации работы Дубоссарской ГЭС и использования водных ресурсов в целях ирригации.</w:t>
      </w:r>
    </w:p>
    <w:p>
      <w:pPr>
        <w:spacing w:after="120" w:line="276" w:lineRule="auto"/>
        <w:ind w:left="360"/>
      </w:pPr>
      <w:r>
        <w:rPr>
          <w:b/>
        </w:rPr>
        <w:t xml:space="preserve">14. </w:t>
      </w:r>
      <w:r>
        <w:t>Создание постоянного механизма диалога между властями, местными сообществами, аграриями, академической средой, частным сектором и гражданским обществом по вопросам управления водными ресурсами.</w:t>
      </w:r>
    </w:p>
    <w:p>
      <w:pPr>
        <w:spacing w:after="120" w:before="0" w:line="276" w:lineRule="auto"/>
        <w:jc w:val="left"/>
      </w:pPr>
      <w:r>
        <w:rPr>
          <w:b w:val="0"/>
          <w:i w:val="0"/>
        </w:rPr>
        <w:t>Объявление состояния гидрологического кризиса на реке Днестр не должно быть изолированным эпизодом, за которым последует возвращение к привычной практике, как только текущий кризис утихнет. Оно должно ознаменовать начало реальной смены парадигмы в том, как Республика Молдова управляет своими водными ресурсами — ресурсом, который становится все более дефицитным в стране, все сильнее страдающей от изменений климата.</w:t>
      </w:r>
    </w:p>
    <w:p>
      <w:pPr>
        <w:spacing w:after="120" w:before="0" w:line="276" w:lineRule="auto"/>
        <w:jc w:val="left"/>
      </w:pPr>
      <w:r>
        <w:rPr>
          <w:b/>
          <w:i w:val="0"/>
        </w:rPr>
        <w:t>Мы призываем граждан, сообщества, фермеров, местные власти, научно-исследовательские институты и бизнес-среду относиться к воде как к стратегическому и ограниченному ресурсу.</w:t>
      </w:r>
    </w:p>
    <w:p>
      <w:pPr>
        <w:spacing w:after="120" w:before="0" w:line="276" w:lineRule="auto"/>
        <w:jc w:val="left"/>
      </w:pPr>
      <w:r>
        <w:rPr>
          <w:b w:val="0"/>
          <w:i w:val="0"/>
        </w:rPr>
        <w:t>Защита родника, небольшого водно-болотного угодья, лесной полосы, речки или участка земли, удерживающего воду, может показаться незначительным действием. Однако в масштабах всего гидрографического бассейна именно эти действия определяют, сколько воды останется на территории и насколько устойчивой будет страна в засушливые годы.</w:t>
      </w:r>
    </w:p>
    <w:p>
      <w:pPr>
        <w:spacing w:after="120" w:before="0" w:line="276" w:lineRule="auto"/>
        <w:jc w:val="left"/>
      </w:pPr>
      <w:r>
        <w:rPr>
          <w:b/>
          <w:i w:val="0"/>
        </w:rPr>
        <w:t>Мы просим Правительство, Парламент и местные органы власти рассматривать гидрологическую безопасность в качестве долгосрочного государственного приоритета, а не только как реактивный ответ на кризисы.</w:t>
      </w:r>
    </w:p>
    <w:p>
      <w:pPr>
        <w:spacing w:after="120" w:before="240" w:line="276" w:lineRule="auto"/>
        <w:jc w:val="left"/>
      </w:pPr>
      <w:r>
        <w:rPr>
          <w:b/>
          <w:i w:val="0"/>
        </w:rPr>
        <w:t>Подписавшие организации:</w:t>
      </w:r>
    </w:p>
    <w:p>
      <w:pPr>
        <w:spacing w:after="80" w:before="0" w:line="276" w:lineRule="auto"/>
        <w:jc w:val="left"/>
      </w:pPr>
      <w:r>
        <w:rPr>
          <w:b w:val="0"/>
          <w:i w:val="0"/>
        </w:rPr>
        <w:t>1. Международная ассоциация хранителей реки «Eco-Tiras»</w:t>
      </w:r>
    </w:p>
    <w:p>
      <w:pPr>
        <w:spacing w:after="80" w:before="0" w:line="276" w:lineRule="auto"/>
        <w:jc w:val="left"/>
      </w:pPr>
      <w:r>
        <w:rPr>
          <w:b w:val="0"/>
          <w:i w:val="0"/>
        </w:rPr>
        <w:t>2. Ассоциация журналистов в области окружающей среды и экологического туризма Республики Молдова</w:t>
      </w:r>
    </w:p>
    <w:p>
      <w:pPr>
        <w:spacing w:after="80" w:before="0" w:line="276" w:lineRule="auto"/>
        <w:jc w:val="left"/>
      </w:pPr>
      <w:r>
        <w:rPr>
          <w:b w:val="0"/>
          <w:i w:val="0"/>
        </w:rPr>
        <w:t>3. AO EcoContact</w:t>
      </w:r>
    </w:p>
    <w:p>
      <w:pPr>
        <w:spacing w:after="80" w:before="0" w:line="276" w:lineRule="auto"/>
        <w:jc w:val="left"/>
      </w:pPr>
      <w:r>
        <w:rPr>
          <w:b w:val="0"/>
          <w:i w:val="0"/>
        </w:rPr>
        <w:t>4. A.O. Экологическое общество ”BIOTICA”</w:t>
      </w:r>
    </w:p>
    <w:p>
      <w:pPr>
        <w:spacing w:after="80" w:before="0" w:line="276" w:lineRule="auto"/>
        <w:jc w:val="left"/>
      </w:pPr>
      <w:r>
        <w:rPr>
          <w:b w:val="0"/>
          <w:i w:val="0"/>
        </w:rPr>
        <w:t>5. Terra-1530</w:t>
      </w:r>
    </w:p>
    <w:p>
      <w:pPr>
        <w:spacing w:after="80" w:before="0" w:line="276" w:lineRule="auto"/>
        <w:jc w:val="left"/>
      </w:pPr>
      <w:r>
        <w:rPr>
          <w:b w:val="0"/>
          <w:i w:val="0"/>
        </w:rPr>
        <w:t>6. Альянс за энергоэффективность и возобновляемые источники энергии</w:t>
      </w:r>
    </w:p>
    <w:p>
      <w:pPr>
        <w:spacing w:after="80" w:before="0" w:line="276" w:lineRule="auto"/>
        <w:jc w:val="left"/>
      </w:pPr>
      <w:r>
        <w:rPr>
          <w:b w:val="0"/>
          <w:i w:val="0"/>
        </w:rPr>
        <w:t>7. Национальный экологический центр</w:t>
      </w:r>
    </w:p>
    <w:p>
      <w:pPr>
        <w:spacing w:after="80" w:before="0" w:line="276" w:lineRule="auto"/>
        <w:jc w:val="left"/>
      </w:pPr>
      <w:r>
        <w:rPr>
          <w:b w:val="0"/>
          <w:i w:val="0"/>
        </w:rPr>
        <w:t>8. AO CAROMA NORD</w:t>
      </w:r>
    </w:p>
    <w:p>
      <w:pPr>
        <w:spacing w:after="80" w:before="0" w:line="276" w:lineRule="auto"/>
        <w:jc w:val="left"/>
      </w:pPr>
      <w:r>
        <w:rPr>
          <w:b w:val="0"/>
          <w:i w:val="0"/>
        </w:rPr>
        <w:t>9. Amnesty International Moldova</w:t>
      </w:r>
    </w:p>
    <w:p>
      <w:pPr>
        <w:spacing w:after="80" w:before="0" w:line="276" w:lineRule="auto"/>
        <w:jc w:val="left"/>
      </w:pPr>
      <w:r>
        <w:rPr>
          <w:b w:val="0"/>
          <w:i w:val="0"/>
        </w:rPr>
        <w:t>10. A. O. Eco – Sor</w:t>
      </w:r>
    </w:p>
    <w:p>
      <w:pPr>
        <w:spacing w:after="80" w:before="0" w:line="276" w:lineRule="auto"/>
        <w:jc w:val="left"/>
      </w:pPr>
      <w:r>
        <w:rPr>
          <w:b w:val="0"/>
          <w:i w:val="0"/>
        </w:rPr>
        <w:t>11. Фонд развития Республики Молдова</w:t>
      </w:r>
    </w:p>
    <w:p>
      <w:pPr>
        <w:spacing w:after="80" w:before="0" w:line="276" w:lineRule="auto"/>
        <w:jc w:val="left"/>
      </w:pPr>
      <w:r>
        <w:rPr>
          <w:b w:val="0"/>
          <w:i w:val="0"/>
        </w:rPr>
        <w:t>12. Общественная ассоциация детей и молодежи „FĂCLIA”</w:t>
      </w:r>
    </w:p>
    <w:p>
      <w:pPr>
        <w:spacing w:after="80" w:before="0" w:line="276" w:lineRule="auto"/>
        <w:jc w:val="left"/>
      </w:pPr>
      <w:r>
        <w:rPr>
          <w:b w:val="0"/>
          <w:i w:val="0"/>
        </w:rPr>
        <w:t>13. Sos Codru</w:t>
      </w:r>
    </w:p>
    <w:p>
      <w:pPr>
        <w:spacing w:after="80" w:before="0" w:line="276" w:lineRule="auto"/>
        <w:jc w:val="left"/>
      </w:pPr>
      <w:r>
        <w:rPr>
          <w:b w:val="0"/>
          <w:i w:val="0"/>
        </w:rPr>
        <w:t>14. AO Pădurea Noastră</w:t>
      </w:r>
    </w:p>
    <w:p>
      <w:pPr>
        <w:spacing w:after="80" w:before="0" w:line="276" w:lineRule="auto"/>
        <w:jc w:val="left"/>
      </w:pPr>
      <w:r>
        <w:rPr>
          <w:b w:val="0"/>
          <w:i w:val="0"/>
        </w:rPr>
        <w:t>15. AO Ecodigital</w:t>
      </w:r>
    </w:p>
    <w:p>
      <w:pPr>
        <w:spacing w:after="80" w:before="0" w:line="276" w:lineRule="auto"/>
        <w:jc w:val="left"/>
      </w:pPr>
      <w:r>
        <w:rPr>
          <w:b w:val="0"/>
          <w:i w:val="0"/>
        </w:rPr>
        <w:t>16. AO Cutezătorul</w:t>
      </w:r>
    </w:p>
    <w:p>
      <w:pPr>
        <w:spacing w:after="80" w:before="0" w:line="276" w:lineRule="auto"/>
        <w:jc w:val="left"/>
      </w:pPr>
      <w:r>
        <w:rPr>
          <w:b w:val="0"/>
          <w:i w:val="0"/>
        </w:rPr>
        <w:t>17. AO LuRenOm</w:t>
      </w:r>
    </w:p>
    <w:p>
      <w:pPr>
        <w:spacing w:after="80" w:before="0" w:line="276" w:lineRule="auto"/>
        <w:jc w:val="left"/>
      </w:pPr>
      <w:r>
        <w:rPr>
          <w:b w:val="0"/>
          <w:i w:val="0"/>
        </w:rPr>
        <w:t>18. AO FIX ERA</w:t>
      </w:r>
    </w:p>
    <w:p>
      <w:pPr>
        <w:spacing w:after="80" w:before="0" w:line="276" w:lineRule="auto"/>
        <w:jc w:val="left"/>
      </w:pPr>
      <w:r>
        <w:rPr>
          <w:b w:val="0"/>
          <w:i w:val="0"/>
        </w:rPr>
        <w:t>19. Общество защиты птиц и природы Республики Молдова</w:t>
      </w:r>
    </w:p>
    <w:p>
      <w:pPr>
        <w:spacing w:after="120" w:before="0" w:line="276" w:lineRule="auto"/>
        <w:jc w:val="left"/>
      </w:pPr>
      <w:r>
        <w:rPr>
          <w:b w:val="0"/>
          <w:i/>
        </w:rPr>
        <w:br/>
        <w:t>[1] План управления округом гидрографического бассейна Днестра, II цикл (2025-2030 гг.), утвержденный ПП № 70 от 19.02.2025</w:t>
      </w:r>
    </w:p>
    <w:p>
      <w:pPr>
        <w:spacing w:after="120" w:before="0" w:line="276" w:lineRule="auto"/>
        <w:jc w:val="left"/>
      </w:pPr>
      <w:r>
        <w:rPr>
          <w:b w:val="0"/>
          <w:i/>
        </w:rPr>
        <w:t>[2] Программа управления округом гидрографического бассейна Дунай – Прут и Черное море, II цикл (2023-2028 гг.), утвержденная ПП № 444 от 29.06.2022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